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custom.xml" ContentType="application/vnd.openxmlformats-officedocument.custom-properties+xml"/>
  <Override PartName="/docProps/app.xml" ContentType="application/vnd.openxmlformats-officedocument.extended-properties+xml"/>
  <Override PartName="/word/_rels/document.xml.rels" ContentType="application/vnd.openxmlformats-package.relationships+xml"/>
  <Override PartName="/word/fontTable.xml" ContentType="application/vnd.openxmlformats-officedocument.wordprocessingml.fontTable+xml"/>
  <Override PartName="/word/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media/image1.png" ContentType="image/png"/>
  <Override PartName="/word/media/image2.png" ContentType="image/png"/>
  <Override PartName="/word/media/image3.jpeg" ContentType="image/jpeg"/>
  <Override PartName="/word/media/image4.jpeg" ContentType="image/jpeg"/>
  <Override PartName="/word/media/image5.png" ContentType="image/png"/>
  <Override PartName="/word/media/image8.jpeg" ContentType="image/jpeg"/>
  <Override PartName="/word/media/image10.png" ContentType="image/png"/>
  <Override PartName="/word/media/image6.jpeg" ContentType="image/jpeg"/>
  <Override PartName="/word/media/image11.jpeg" ContentType="image/jpeg"/>
  <Override PartName="/word/media/image7.jpeg" ContentType="image/jpeg"/>
  <Override PartName="/word/media/image9.jpeg" ContentType="image/jpeg"/>
  <Override PartName="/word/media/image12.png" ContentType="image/png"/>
  <Override PartName="/word/numbering.xml" ContentType="application/vnd.openxmlformats-officedocument.wordprocessingml.numbering+xml"/>
  <Override PartName="/word/document.xml" ContentType="application/vnd.openxmlformats-officedocument.wordprocessingml.document.main+xml"/>
  <Override PartName="/word/header6.xml" ContentType="application/vnd.openxmlformats-officedocument.wordprocessingml.header+xml"/>
  <Override PartName="/word/theme/theme1.xml" ContentType="application/vnd.openxmlformats-officedocument.theme+xml"/>
  <Override PartName="/word/header7.xml" ContentType="application/vnd.openxmlformats-officedocument.wordprocessingml.header+xml"/>
  <Override PartName="/word/header5.xml" ContentType="application/vnd.openxmlformats-officedocument.wordprocessingml.header+xml"/>
  <Override PartName="/word/settings.xml" ContentType="application/vnd.openxmlformats-officedocument.wordprocessingml.settings+xml"/>
  <Override PartName="/customXml/_rels/item1.xml.rels" ContentType="application/vnd.openxmlformats-package.relationships+xml"/>
  <Override PartName="/customXml/item1.xml" ContentType="application/xml"/>
  <Override PartName="/customXml/itemProps1.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jc w:val="right"/>
        <w:rPr>
          <w:rFonts w:eastAsia="Calibri"/>
          <w:sz w:val="26"/>
          <w:szCs w:val="26"/>
        </w:rPr>
      </w:pPr>
      <w:r>
        <w:rPr>
          <w:rFonts w:eastAsia="Calibri"/>
          <w:sz w:val="26"/>
          <w:szCs w:val="26"/>
        </w:rPr>
      </w:r>
    </w:p>
    <w:p>
      <w:pPr>
        <w:pStyle w:val="Normal"/>
        <w:jc w:val="right"/>
        <w:rPr>
          <w:rFonts w:eastAsia="Calibri"/>
          <w:sz w:val="26"/>
          <w:szCs w:val="26"/>
        </w:rPr>
      </w:pPr>
      <w:r>
        <w:rPr>
          <w:rFonts w:eastAsia="Calibri"/>
          <w:sz w:val="26"/>
          <w:szCs w:val="26"/>
        </w:rPr>
      </w:r>
    </w:p>
    <w:p>
      <w:pPr>
        <w:pStyle w:val="Normal"/>
        <w:jc w:val="right"/>
        <w:rPr>
          <w:rFonts w:eastAsia="Calibri"/>
          <w:sz w:val="26"/>
          <w:szCs w:val="26"/>
        </w:rPr>
      </w:pPr>
      <w:r>
        <w:rPr>
          <w:rFonts w:eastAsia="Calibri"/>
          <w:sz w:val="26"/>
          <w:szCs w:val="26"/>
        </w:rPr>
      </w:r>
    </w:p>
    <w:p>
      <w:pPr>
        <w:pStyle w:val="Normal"/>
        <w:keepNext w:val="true"/>
        <w:keepLines/>
        <w:jc w:val="right"/>
        <w:rPr>
          <w:bCs/>
          <w:sz w:val="24"/>
          <w:szCs w:val="24"/>
        </w:rPr>
      </w:pPr>
      <w:r>
        <w:rPr>
          <w:bCs/>
          <w:sz w:val="24"/>
          <w:szCs w:val="24"/>
        </w:rPr>
      </w:r>
    </w:p>
    <w:p>
      <w:pPr>
        <w:pStyle w:val="Normal"/>
        <w:keepNext w:val="true"/>
        <w:keepLines/>
        <w:jc w:val="center"/>
        <w:rPr>
          <w:rFonts w:eastAsia="Calibri"/>
          <w:b/>
          <w:sz w:val="26"/>
          <w:szCs w:val="26"/>
        </w:rPr>
      </w:pPr>
      <w:r>
        <w:rPr>
          <w:rFonts w:eastAsia="Calibri"/>
          <w:b/>
          <w:sz w:val="26"/>
          <w:szCs w:val="26"/>
        </w:rPr>
      </w:r>
      <w:bookmarkStart w:id="0" w:name="_Toc137554584"/>
      <w:bookmarkStart w:id="1" w:name="_Toc139856287"/>
      <w:bookmarkStart w:id="2" w:name="_Toc141696704"/>
      <w:bookmarkStart w:id="3" w:name="_Toc137554584"/>
      <w:bookmarkStart w:id="4" w:name="_Toc139856287"/>
      <w:bookmarkStart w:id="5" w:name="_Toc141696704"/>
      <w:bookmarkEnd w:id="3"/>
      <w:bookmarkEnd w:id="4"/>
      <w:bookmarkEnd w:id="5"/>
    </w:p>
    <w:p>
      <w:pPr>
        <w:pStyle w:val="Normal"/>
        <w:keepNext w:val="true"/>
        <w:keepLines/>
        <w:jc w:val="right"/>
        <w:rPr>
          <w:b/>
          <w:bCs/>
          <w:sz w:val="26"/>
          <w:szCs w:val="26"/>
        </w:rPr>
      </w:pPr>
      <w:r>
        <w:rPr>
          <w:b/>
          <w:bCs/>
          <w:sz w:val="26"/>
          <w:szCs w:val="26"/>
        </w:rPr>
      </w:r>
    </w:p>
    <w:p>
      <w:pPr>
        <w:pStyle w:val="Normal"/>
        <w:keepNext w:val="true"/>
        <w:keepLines/>
        <w:rPr>
          <w:sz w:val="26"/>
          <w:szCs w:val="26"/>
        </w:rPr>
      </w:pPr>
      <w:r>
        <w:rPr>
          <w:sz w:val="26"/>
          <w:szCs w:val="26"/>
        </w:rPr>
      </w:r>
    </w:p>
    <w:p>
      <w:pPr>
        <w:pStyle w:val="Normal"/>
        <w:keepNext w:val="true"/>
        <w:keepLines/>
        <w:rPr>
          <w:sz w:val="26"/>
          <w:szCs w:val="26"/>
        </w:rPr>
      </w:pPr>
      <w:r>
        <w:rPr>
          <w:sz w:val="26"/>
          <w:szCs w:val="26"/>
        </w:rPr>
      </w:r>
    </w:p>
    <w:p>
      <w:pPr>
        <w:pStyle w:val="Normal"/>
        <w:keepNext w:val="true"/>
        <w:keepLines/>
        <w:rPr>
          <w:sz w:val="26"/>
          <w:szCs w:val="26"/>
        </w:rPr>
      </w:pPr>
      <w:r>
        <w:rPr>
          <w:sz w:val="26"/>
          <w:szCs w:val="26"/>
        </w:rPr>
      </w:r>
    </w:p>
    <w:p>
      <w:pPr>
        <w:pStyle w:val="Normal"/>
        <w:keepNext w:val="true"/>
        <w:keepLines/>
        <w:rPr>
          <w:sz w:val="26"/>
          <w:szCs w:val="26"/>
        </w:rPr>
      </w:pPr>
      <w:r>
        <w:rPr>
          <w:sz w:val="26"/>
          <w:szCs w:val="26"/>
        </w:rPr>
      </w:r>
    </w:p>
    <w:p>
      <w:pPr>
        <w:pStyle w:val="Normal"/>
        <w:keepNext w:val="true"/>
        <w:keepLines/>
        <w:rPr>
          <w:sz w:val="26"/>
          <w:szCs w:val="26"/>
        </w:rPr>
      </w:pPr>
      <w:r>
        <w:rPr>
          <w:sz w:val="26"/>
          <w:szCs w:val="26"/>
        </w:rPr>
      </w:r>
    </w:p>
    <w:p>
      <w:pPr>
        <w:pStyle w:val="Normal"/>
        <w:keepNext w:val="true"/>
        <w:keepLines/>
        <w:rPr>
          <w:sz w:val="26"/>
          <w:szCs w:val="26"/>
        </w:rPr>
      </w:pPr>
      <w:r>
        <w:rPr>
          <w:sz w:val="26"/>
          <w:szCs w:val="26"/>
        </w:rPr>
      </w:r>
    </w:p>
    <w:p>
      <w:pPr>
        <w:pStyle w:val="Normal"/>
        <w:keepNext w:val="true"/>
        <w:keepLines/>
        <w:rPr>
          <w:sz w:val="26"/>
          <w:szCs w:val="26"/>
        </w:rPr>
      </w:pPr>
      <w:r>
        <w:rPr>
          <w:sz w:val="26"/>
          <w:szCs w:val="26"/>
        </w:rPr>
      </w:r>
    </w:p>
    <w:p>
      <w:pPr>
        <w:pStyle w:val="Normal"/>
        <w:keepNext w:val="true"/>
        <w:keepLines/>
        <w:rPr>
          <w:sz w:val="26"/>
          <w:szCs w:val="26"/>
        </w:rPr>
      </w:pPr>
      <w:r>
        <w:rPr>
          <w:sz w:val="26"/>
          <w:szCs w:val="26"/>
        </w:rPr>
      </w:r>
    </w:p>
    <w:p>
      <w:pPr>
        <w:pStyle w:val="Normal"/>
        <w:keepNext w:val="true"/>
        <w:keepLines/>
        <w:rPr>
          <w:sz w:val="26"/>
          <w:szCs w:val="26"/>
        </w:rPr>
      </w:pPr>
      <w:r>
        <w:rPr>
          <w:sz w:val="26"/>
          <w:szCs w:val="26"/>
        </w:rPr>
      </w:r>
    </w:p>
    <w:p>
      <w:pPr>
        <w:pStyle w:val="Normal"/>
        <w:keepNext w:val="true"/>
        <w:keepLines/>
        <w:rPr>
          <w:sz w:val="26"/>
          <w:szCs w:val="26"/>
        </w:rPr>
      </w:pPr>
      <w:r>
        <w:rPr>
          <w:sz w:val="26"/>
          <w:szCs w:val="26"/>
        </w:rPr>
      </w:r>
    </w:p>
    <w:p>
      <w:pPr>
        <w:pStyle w:val="Normal"/>
        <w:keepNext w:val="true"/>
        <w:keepLines/>
        <w:jc w:val="center"/>
        <w:rPr/>
      </w:pPr>
      <w:r>
        <w:rPr>
          <w:rFonts w:eastAsia="Calibri"/>
          <w:b/>
          <w:sz w:val="24"/>
          <w:szCs w:val="24"/>
        </w:rPr>
        <w:t xml:space="preserve">Технические требования </w:t>
      </w:r>
    </w:p>
    <w:p>
      <w:pPr>
        <w:pStyle w:val="Normal"/>
        <w:keepNext w:val="true"/>
        <w:keepLines/>
        <w:jc w:val="center"/>
        <w:rPr>
          <w:rFonts w:eastAsia="Calibri"/>
          <w:b/>
          <w:sz w:val="24"/>
          <w:szCs w:val="24"/>
        </w:rPr>
      </w:pPr>
      <w:r>
        <w:rPr>
          <w:rFonts w:eastAsia="Calibri"/>
          <w:b/>
          <w:sz w:val="24"/>
          <w:szCs w:val="24"/>
        </w:rPr>
      </w:r>
    </w:p>
    <w:p>
      <w:pPr>
        <w:pStyle w:val="Normal"/>
        <w:jc w:val="center"/>
        <w:rPr/>
      </w:pPr>
      <w:r>
        <w:rPr>
          <w:rFonts w:eastAsia="Calibri"/>
          <w:sz w:val="24"/>
          <w:szCs w:val="24"/>
        </w:rPr>
        <w:t>«</w:t>
      </w:r>
      <w:r>
        <w:rPr>
          <w:color w:val="000000"/>
          <w:sz w:val="24"/>
          <w:szCs w:val="24"/>
        </w:rPr>
        <w:t>ОКПД2 14.12.Поставка средств индивидуальной защиты от общих производственных загрязнений в корпоративном стиле Группы РусГидро для нужд филиала ПАО "РусГидро"-"Камская ГЭС"</w:t>
      </w:r>
      <w:r>
        <w:rPr>
          <w:rFonts w:eastAsia="Calibri"/>
          <w:b/>
          <w:sz w:val="24"/>
          <w:szCs w:val="24"/>
        </w:rPr>
        <w:t>»</w:t>
      </w:r>
    </w:p>
    <w:p>
      <w:pPr>
        <w:pStyle w:val="Normal"/>
        <w:keepNext w:val="true"/>
        <w:keepLines/>
        <w:jc w:val="center"/>
        <w:rPr>
          <w:rFonts w:eastAsia="Calibri"/>
          <w:b/>
          <w:i/>
          <w:i/>
          <w:sz w:val="26"/>
          <w:szCs w:val="26"/>
        </w:rPr>
      </w:pPr>
      <w:r>
        <w:rPr>
          <w:rFonts w:eastAsia="Calibri"/>
          <w:b/>
          <w:i/>
          <w:sz w:val="26"/>
          <w:szCs w:val="26"/>
        </w:rPr>
      </w:r>
    </w:p>
    <w:p>
      <w:pPr>
        <w:pStyle w:val="Normal"/>
        <w:keepNext w:val="true"/>
        <w:keepLines/>
        <w:jc w:val="both"/>
        <w:rPr>
          <w:sz w:val="26"/>
          <w:szCs w:val="26"/>
        </w:rPr>
      </w:pPr>
      <w:r>
        <w:rPr>
          <w:sz w:val="26"/>
          <w:szCs w:val="26"/>
        </w:rPr>
      </w:r>
    </w:p>
    <w:p>
      <w:pPr>
        <w:pStyle w:val="Normal"/>
        <w:rPr>
          <w:sz w:val="26"/>
          <w:szCs w:val="26"/>
        </w:rPr>
      </w:pPr>
      <w:r>
        <w:rPr>
          <w:sz w:val="26"/>
          <w:szCs w:val="26"/>
        </w:rPr>
      </w:r>
      <w:r>
        <w:br w:type="page"/>
      </w:r>
    </w:p>
    <w:p>
      <w:pPr>
        <w:pStyle w:val="Normal"/>
        <w:jc w:val="center"/>
        <w:rPr/>
      </w:pPr>
      <w:r>
        <w:rPr>
          <w:b/>
        </w:rPr>
        <w:t>СОДЕРЖАНИЕ</w:t>
      </w:r>
    </w:p>
    <w:sdt>
      <w:sdtPr>
        <w:docPartObj>
          <w:docPartGallery w:val="Table of Contents"/>
          <w:docPartUnique w:val="true"/>
        </w:docPartObj>
      </w:sdtPr>
      <w:sdtContent>
        <w:p>
          <w:pPr>
            <w:pStyle w:val="TOC1"/>
            <w:tabs>
              <w:tab w:val="clear" w:pos="720"/>
              <w:tab w:val="left" w:pos="560" w:leader="none"/>
              <w:tab w:val="right" w:pos="9911" w:leader="dot"/>
            </w:tabs>
            <w:rPr>
              <w:rFonts w:ascii="Calibri" w:hAnsi="Calibri" w:eastAsia="新細明體" w:cs="Arial" w:asciiTheme="minorHAnsi" w:cstheme="minorBidi" w:eastAsiaTheme="minorEastAsia" w:hAnsiTheme="minorHAnsi"/>
              <w:b w:val="false"/>
              <w:bCs w:val="false"/>
              <w:sz w:val="22"/>
              <w:szCs w:val="22"/>
            </w:rPr>
          </w:pPr>
          <w:r>
            <w:fldChar w:fldCharType="begin"/>
          </w:r>
          <w:r>
            <w:rPr>
              <w:webHidden/>
              <w:rStyle w:val="Style15"/>
              <w:vanish w:val="false"/>
              <w:rFonts w:eastAsia="Calibri"/>
            </w:rPr>
            <w:instrText xml:space="preserve"> TOC \z \o "1-4" \u \h</w:instrText>
          </w:r>
          <w:r>
            <w:rPr>
              <w:webHidden/>
              <w:rStyle w:val="Style15"/>
              <w:vanish w:val="false"/>
              <w:rFonts w:eastAsia="Calibri"/>
            </w:rPr>
            <w:fldChar w:fldCharType="separate"/>
          </w:r>
          <w:hyperlink w:anchor="_Toc194314057">
            <w:r>
              <w:rPr>
                <w:webHidden/>
                <w:rStyle w:val="Style15"/>
                <w:rFonts w:eastAsia="Calibri"/>
                <w:vanish w:val="false"/>
              </w:rPr>
              <w:t>1.</w:t>
            </w:r>
            <w:r>
              <w:rPr>
                <w:rStyle w:val="Style15"/>
                <w:rFonts w:eastAsia="新細明體" w:cs="Arial" w:ascii="Calibri" w:hAnsi="Calibri" w:asciiTheme="minorHAnsi" w:cstheme="minorBidi" w:eastAsiaTheme="minorEastAsia" w:hAnsiTheme="minorHAnsi"/>
                <w:b w:val="false"/>
                <w:bCs w:val="false"/>
                <w:sz w:val="22"/>
                <w:szCs w:val="22"/>
              </w:rPr>
              <w:tab/>
            </w:r>
            <w:r>
              <w:rPr>
                <w:rStyle w:val="Style15"/>
                <w:rFonts w:eastAsia="Calibri"/>
              </w:rPr>
              <w:t>Общие сведения</w:t>
            </w:r>
            <w:r>
              <w:rPr>
                <w:webHidden/>
              </w:rPr>
              <w:fldChar w:fldCharType="begin"/>
            </w:r>
            <w:r>
              <w:rPr>
                <w:webHidden/>
              </w:rPr>
              <w:instrText xml:space="preserve">PAGEREF _Toc194314057 \h</w:instrText>
            </w:r>
            <w:r>
              <w:rPr>
                <w:webHidden/>
              </w:rPr>
              <w:fldChar w:fldCharType="separate"/>
            </w:r>
            <w:r>
              <w:rPr>
                <w:rStyle w:val="Style15"/>
                <w:vanish w:val="false"/>
              </w:rPr>
              <w:tab/>
              <w:t>3</w:t>
            </w:r>
            <w:r>
              <w:rPr>
                <w:webHidden/>
              </w:rPr>
              <w:fldChar w:fldCharType="end"/>
            </w:r>
          </w:hyperlink>
        </w:p>
        <w:p>
          <w:pPr>
            <w:pStyle w:val="TOC4"/>
            <w:tabs>
              <w:tab w:val="clear" w:pos="720"/>
              <w:tab w:val="left" w:pos="1120" w:leader="none"/>
              <w:tab w:val="right" w:pos="9911" w:leader="dot"/>
            </w:tabs>
            <w:rPr>
              <w:rFonts w:ascii="Calibri" w:hAnsi="Calibri" w:eastAsia="新細明體" w:cs="Arial" w:asciiTheme="minorHAnsi" w:cstheme="minorBidi" w:eastAsiaTheme="minorEastAsia" w:hAnsiTheme="minorHAnsi"/>
              <w:sz w:val="22"/>
              <w:szCs w:val="22"/>
            </w:rPr>
          </w:pPr>
          <w:hyperlink w:anchor="_Toc194314058">
            <w:r>
              <w:rPr>
                <w:webHidden/>
                <w:rStyle w:val="Style15"/>
                <w:rFonts w:eastAsia="Calibri"/>
                <w:iCs/>
                <w:vanish w:val="false"/>
              </w:rPr>
              <w:t>1.1.</w:t>
            </w:r>
            <w:r>
              <w:rPr>
                <w:rStyle w:val="Style15"/>
                <w:rFonts w:eastAsia="新細明體" w:cs="Arial" w:ascii="Calibri" w:hAnsi="Calibri" w:asciiTheme="minorHAnsi" w:cstheme="minorBidi" w:eastAsiaTheme="minorEastAsia" w:hAnsiTheme="minorHAnsi"/>
                <w:sz w:val="22"/>
                <w:szCs w:val="22"/>
              </w:rPr>
              <w:tab/>
            </w:r>
            <w:r>
              <w:rPr>
                <w:rStyle w:val="Style15"/>
                <w:rFonts w:eastAsia="Calibri"/>
              </w:rPr>
              <w:t>Наименование закупаемой продукции</w:t>
            </w:r>
            <w:r>
              <w:rPr>
                <w:webHidden/>
              </w:rPr>
              <w:fldChar w:fldCharType="begin"/>
            </w:r>
            <w:r>
              <w:rPr>
                <w:webHidden/>
              </w:rPr>
              <w:instrText xml:space="preserve">PAGEREF _Toc194314058 \h</w:instrText>
            </w:r>
            <w:r>
              <w:rPr>
                <w:webHidden/>
              </w:rPr>
              <w:fldChar w:fldCharType="separate"/>
            </w:r>
            <w:r>
              <w:rPr>
                <w:rStyle w:val="Style15"/>
                <w:vanish w:val="false"/>
              </w:rPr>
              <w:tab/>
              <w:t>3</w:t>
            </w:r>
            <w:r>
              <w:rPr>
                <w:webHidden/>
              </w:rPr>
              <w:fldChar w:fldCharType="end"/>
            </w:r>
          </w:hyperlink>
        </w:p>
        <w:p>
          <w:pPr>
            <w:pStyle w:val="TOC4"/>
            <w:tabs>
              <w:tab w:val="clear" w:pos="720"/>
              <w:tab w:val="left" w:pos="1120" w:leader="none"/>
              <w:tab w:val="right" w:pos="9911" w:leader="dot"/>
            </w:tabs>
            <w:rPr>
              <w:rFonts w:ascii="Calibri" w:hAnsi="Calibri" w:eastAsia="新細明體" w:cs="Arial" w:asciiTheme="minorHAnsi" w:cstheme="minorBidi" w:eastAsiaTheme="minorEastAsia" w:hAnsiTheme="minorHAnsi"/>
              <w:sz w:val="22"/>
              <w:szCs w:val="22"/>
            </w:rPr>
          </w:pPr>
          <w:hyperlink w:anchor="_Toc194314059">
            <w:r>
              <w:rPr>
                <w:webHidden/>
                <w:rStyle w:val="Style15"/>
                <w:rFonts w:eastAsia="Calibri"/>
                <w:iCs/>
                <w:vanish w:val="false"/>
              </w:rPr>
              <w:t>1.2.</w:t>
            </w:r>
            <w:r>
              <w:rPr>
                <w:rStyle w:val="Style15"/>
                <w:rFonts w:eastAsia="新細明體" w:cs="Arial" w:ascii="Calibri" w:hAnsi="Calibri" w:asciiTheme="minorHAnsi" w:cstheme="minorBidi" w:eastAsiaTheme="minorEastAsia" w:hAnsiTheme="minorHAnsi"/>
                <w:sz w:val="22"/>
                <w:szCs w:val="22"/>
              </w:rPr>
              <w:tab/>
            </w:r>
            <w:r>
              <w:rPr>
                <w:rStyle w:val="Style15"/>
                <w:rFonts w:eastAsia="Calibri"/>
              </w:rPr>
              <w:t>Цель использования закупаемой продукции</w:t>
            </w:r>
            <w:r>
              <w:rPr>
                <w:webHidden/>
              </w:rPr>
              <w:fldChar w:fldCharType="begin"/>
            </w:r>
            <w:r>
              <w:rPr>
                <w:webHidden/>
              </w:rPr>
              <w:instrText xml:space="preserve">PAGEREF _Toc194314059 \h</w:instrText>
            </w:r>
            <w:r>
              <w:rPr>
                <w:webHidden/>
              </w:rPr>
              <w:fldChar w:fldCharType="separate"/>
            </w:r>
            <w:r>
              <w:rPr>
                <w:rStyle w:val="Style15"/>
                <w:vanish w:val="false"/>
              </w:rPr>
              <w:tab/>
              <w:t>3</w:t>
            </w:r>
            <w:r>
              <w:rPr>
                <w:webHidden/>
              </w:rPr>
              <w:fldChar w:fldCharType="end"/>
            </w:r>
          </w:hyperlink>
        </w:p>
        <w:p>
          <w:pPr>
            <w:pStyle w:val="TOC1"/>
            <w:tabs>
              <w:tab w:val="clear" w:pos="720"/>
              <w:tab w:val="left" w:pos="560" w:leader="none"/>
              <w:tab w:val="right" w:pos="9911" w:leader="dot"/>
            </w:tabs>
            <w:rPr>
              <w:rFonts w:ascii="Calibri" w:hAnsi="Calibri" w:eastAsia="新細明體" w:cs="Arial" w:asciiTheme="minorHAnsi" w:cstheme="minorBidi" w:eastAsiaTheme="minorEastAsia" w:hAnsiTheme="minorHAnsi"/>
              <w:b w:val="false"/>
              <w:bCs w:val="false"/>
              <w:sz w:val="22"/>
              <w:szCs w:val="22"/>
            </w:rPr>
          </w:pPr>
          <w:hyperlink w:anchor="_Toc194314060">
            <w:r>
              <w:rPr>
                <w:webHidden/>
                <w:rStyle w:val="Style15"/>
                <w:rFonts w:eastAsia="Calibri"/>
                <w:vanish w:val="false"/>
              </w:rPr>
              <w:t>2.</w:t>
            </w:r>
            <w:r>
              <w:rPr>
                <w:rStyle w:val="Style15"/>
                <w:rFonts w:eastAsia="新細明體" w:cs="Arial" w:ascii="Calibri" w:hAnsi="Calibri" w:asciiTheme="minorHAnsi" w:cstheme="minorBidi" w:eastAsiaTheme="minorEastAsia" w:hAnsiTheme="minorHAnsi"/>
                <w:b w:val="false"/>
                <w:bCs w:val="false"/>
                <w:sz w:val="22"/>
                <w:szCs w:val="22"/>
              </w:rPr>
              <w:tab/>
            </w:r>
            <w:r>
              <w:rPr>
                <w:rStyle w:val="Style15"/>
                <w:rFonts w:eastAsia="Calibri"/>
                <w:iCs/>
              </w:rPr>
              <w:t>Требования к продукции</w:t>
            </w:r>
            <w:r>
              <w:rPr>
                <w:webHidden/>
              </w:rPr>
              <w:fldChar w:fldCharType="begin"/>
            </w:r>
            <w:r>
              <w:rPr>
                <w:webHidden/>
              </w:rPr>
              <w:instrText xml:space="preserve">PAGEREF _Toc194314060 \h</w:instrText>
            </w:r>
            <w:r>
              <w:rPr>
                <w:webHidden/>
              </w:rPr>
              <w:fldChar w:fldCharType="separate"/>
            </w:r>
            <w:r>
              <w:rPr>
                <w:rStyle w:val="Style15"/>
                <w:vanish w:val="false"/>
              </w:rPr>
              <w:tab/>
              <w:t>3</w:t>
            </w:r>
            <w:r>
              <w:rPr>
                <w:webHidden/>
              </w:rPr>
              <w:fldChar w:fldCharType="end"/>
            </w:r>
          </w:hyperlink>
        </w:p>
        <w:p>
          <w:pPr>
            <w:pStyle w:val="TOC4"/>
            <w:tabs>
              <w:tab w:val="clear" w:pos="720"/>
              <w:tab w:val="left" w:pos="1120" w:leader="none"/>
              <w:tab w:val="right" w:pos="9911" w:leader="dot"/>
            </w:tabs>
            <w:rPr>
              <w:rFonts w:ascii="Calibri" w:hAnsi="Calibri" w:eastAsia="新細明體" w:cs="Arial" w:asciiTheme="minorHAnsi" w:cstheme="minorBidi" w:eastAsiaTheme="minorEastAsia" w:hAnsiTheme="minorHAnsi"/>
              <w:sz w:val="22"/>
              <w:szCs w:val="22"/>
            </w:rPr>
          </w:pPr>
          <w:hyperlink w:anchor="_Toc194314061">
            <w:r>
              <w:rPr>
                <w:webHidden/>
                <w:rStyle w:val="Style15"/>
                <w:rFonts w:eastAsia="Calibri"/>
                <w:iCs/>
                <w:vanish w:val="false"/>
              </w:rPr>
              <w:t>2.1.</w:t>
            </w:r>
            <w:r>
              <w:rPr>
                <w:rStyle w:val="Style15"/>
                <w:rFonts w:eastAsia="新細明體" w:cs="Arial" w:ascii="Calibri" w:hAnsi="Calibri" w:asciiTheme="minorHAnsi" w:cstheme="minorBidi" w:eastAsiaTheme="minorEastAsia" w:hAnsiTheme="minorHAnsi"/>
                <w:sz w:val="22"/>
                <w:szCs w:val="22"/>
              </w:rPr>
              <w:tab/>
            </w:r>
            <w:r>
              <w:rPr>
                <w:rStyle w:val="Style15"/>
                <w:rFonts w:eastAsia="Calibri"/>
              </w:rPr>
              <w:t>Требования к объемам и срокам поставки</w:t>
            </w:r>
            <w:r>
              <w:rPr>
                <w:webHidden/>
              </w:rPr>
              <w:fldChar w:fldCharType="begin"/>
            </w:r>
            <w:r>
              <w:rPr>
                <w:webHidden/>
              </w:rPr>
              <w:instrText xml:space="preserve">PAGEREF _Toc194314061 \h</w:instrText>
            </w:r>
            <w:r>
              <w:rPr>
                <w:webHidden/>
              </w:rPr>
              <w:fldChar w:fldCharType="separate"/>
            </w:r>
            <w:r>
              <w:rPr>
                <w:rStyle w:val="Style15"/>
                <w:vanish w:val="false"/>
              </w:rPr>
              <w:tab/>
              <w:t>3</w:t>
            </w:r>
            <w:r>
              <w:rPr>
                <w:webHidden/>
              </w:rPr>
              <w:fldChar w:fldCharType="end"/>
            </w:r>
          </w:hyperlink>
        </w:p>
        <w:p>
          <w:pPr>
            <w:pStyle w:val="TOC3"/>
            <w:tabs>
              <w:tab w:val="clear" w:pos="720"/>
              <w:tab w:val="left" w:pos="1120" w:leader="none"/>
              <w:tab w:val="right" w:pos="9911" w:leader="dot"/>
            </w:tabs>
            <w:rPr>
              <w:rFonts w:ascii="Calibri" w:hAnsi="Calibri" w:eastAsia="新細明體" w:cs="Arial" w:asciiTheme="minorHAnsi" w:cstheme="minorBidi" w:eastAsiaTheme="minorEastAsia" w:hAnsiTheme="minorHAnsi"/>
              <w:sz w:val="22"/>
              <w:szCs w:val="22"/>
            </w:rPr>
          </w:pPr>
          <w:hyperlink w:anchor="_Toc194314062">
            <w:r>
              <w:rPr>
                <w:webHidden/>
                <w:rStyle w:val="Style15"/>
                <w:rFonts w:eastAsia="Calibri"/>
                <w:vanish w:val="false"/>
              </w:rPr>
              <w:t>2.1.1.</w:t>
            </w:r>
            <w:r>
              <w:rPr>
                <w:rStyle w:val="Style15"/>
                <w:rFonts w:eastAsia="新細明體" w:cs="Arial" w:ascii="Calibri" w:hAnsi="Calibri" w:asciiTheme="minorHAnsi" w:cstheme="minorBidi" w:eastAsiaTheme="minorEastAsia" w:hAnsiTheme="minorHAnsi"/>
                <w:sz w:val="22"/>
                <w:szCs w:val="22"/>
              </w:rPr>
              <w:tab/>
            </w:r>
            <w:r>
              <w:rPr>
                <w:rStyle w:val="Style15"/>
                <w:rFonts w:eastAsia="Calibri"/>
              </w:rPr>
              <w:t>Перечень и объем закупаемой продукции</w:t>
            </w:r>
            <w:r>
              <w:rPr>
                <w:webHidden/>
              </w:rPr>
              <w:fldChar w:fldCharType="begin"/>
            </w:r>
            <w:r>
              <w:rPr>
                <w:webHidden/>
              </w:rPr>
              <w:instrText xml:space="preserve">PAGEREF _Toc194314062 \h</w:instrText>
            </w:r>
            <w:r>
              <w:rPr>
                <w:webHidden/>
              </w:rPr>
              <w:fldChar w:fldCharType="separate"/>
            </w:r>
            <w:r>
              <w:rPr>
                <w:rStyle w:val="Style15"/>
                <w:vanish w:val="false"/>
              </w:rPr>
              <w:tab/>
              <w:t>3</w:t>
            </w:r>
            <w:r>
              <w:rPr>
                <w:webHidden/>
              </w:rPr>
              <w:fldChar w:fldCharType="end"/>
            </w:r>
          </w:hyperlink>
        </w:p>
        <w:p>
          <w:pPr>
            <w:pStyle w:val="TOC1"/>
            <w:tabs>
              <w:tab w:val="clear" w:pos="720"/>
              <w:tab w:val="right" w:pos="9911" w:leader="dot"/>
            </w:tabs>
            <w:rPr>
              <w:rFonts w:ascii="Calibri" w:hAnsi="Calibri" w:eastAsia="新細明體" w:cs="Arial" w:asciiTheme="minorHAnsi" w:cstheme="minorBidi" w:eastAsiaTheme="minorEastAsia" w:hAnsiTheme="minorHAnsi"/>
              <w:b w:val="false"/>
              <w:bCs w:val="false"/>
              <w:sz w:val="22"/>
              <w:szCs w:val="22"/>
            </w:rPr>
          </w:pPr>
          <w:hyperlink w:anchor="_Toc194314063">
            <w:r>
              <w:rPr>
                <w:webHidden/>
                <w:rStyle w:val="Style15"/>
                <w:rFonts w:eastAsia="Calibri"/>
                <w:vanish w:val="false"/>
              </w:rPr>
              <w:t>Таблица 1.1 Перечень и объем закупаемой продукции</w:t>
            </w:r>
            <w:r>
              <w:rPr>
                <w:webHidden/>
              </w:rPr>
              <w:fldChar w:fldCharType="begin"/>
            </w:r>
            <w:r>
              <w:rPr>
                <w:webHidden/>
              </w:rPr>
              <w:instrText xml:space="preserve">PAGEREF _Toc194314063 \h</w:instrText>
            </w:r>
            <w:r>
              <w:rPr>
                <w:webHidden/>
              </w:rPr>
              <w:fldChar w:fldCharType="separate"/>
            </w:r>
            <w:r>
              <w:rPr>
                <w:rStyle w:val="Style15"/>
                <w:vanish w:val="false"/>
              </w:rPr>
              <w:tab/>
              <w:t>3</w:t>
            </w:r>
            <w:r>
              <w:rPr>
                <w:webHidden/>
              </w:rPr>
              <w:fldChar w:fldCharType="end"/>
            </w:r>
          </w:hyperlink>
        </w:p>
        <w:p>
          <w:pPr>
            <w:pStyle w:val="TOC3"/>
            <w:tabs>
              <w:tab w:val="clear" w:pos="720"/>
              <w:tab w:val="left" w:pos="1120" w:leader="none"/>
              <w:tab w:val="right" w:pos="9911" w:leader="dot"/>
            </w:tabs>
            <w:rPr>
              <w:rFonts w:ascii="Calibri" w:hAnsi="Calibri" w:eastAsia="新細明體" w:cs="Arial" w:asciiTheme="minorHAnsi" w:cstheme="minorBidi" w:eastAsiaTheme="minorEastAsia" w:hAnsiTheme="minorHAnsi"/>
              <w:sz w:val="22"/>
              <w:szCs w:val="22"/>
            </w:rPr>
          </w:pPr>
          <w:hyperlink w:anchor="_Toc194314064">
            <w:r>
              <w:rPr>
                <w:webHidden/>
                <w:rStyle w:val="Style15"/>
                <w:rFonts w:eastAsia="Calibri"/>
                <w:vanish w:val="false"/>
              </w:rPr>
              <w:t>2.1.2.</w:t>
            </w:r>
            <w:r>
              <w:rPr>
                <w:rStyle w:val="Style15"/>
                <w:rFonts w:eastAsia="新細明體" w:cs="Arial" w:ascii="Calibri" w:hAnsi="Calibri" w:asciiTheme="minorHAnsi" w:cstheme="minorBidi" w:eastAsiaTheme="minorEastAsia" w:hAnsiTheme="minorHAnsi"/>
                <w:sz w:val="22"/>
                <w:szCs w:val="22"/>
              </w:rPr>
              <w:tab/>
            </w:r>
            <w:r>
              <w:rPr>
                <w:rStyle w:val="Style15"/>
                <w:rFonts w:eastAsia="Calibri"/>
              </w:rPr>
              <w:t>Требования к срокам поставки продукции и оказания сопутствующих услуг</w:t>
            </w:r>
            <w:r>
              <w:rPr>
                <w:webHidden/>
              </w:rPr>
              <w:fldChar w:fldCharType="begin"/>
            </w:r>
            <w:r>
              <w:rPr>
                <w:webHidden/>
              </w:rPr>
              <w:instrText xml:space="preserve">PAGEREF _Toc194314064 \h</w:instrText>
            </w:r>
            <w:r>
              <w:rPr>
                <w:webHidden/>
              </w:rPr>
              <w:fldChar w:fldCharType="separate"/>
            </w:r>
            <w:r>
              <w:rPr>
                <w:rStyle w:val="Style15"/>
                <w:vanish w:val="false"/>
              </w:rPr>
              <w:tab/>
              <w:t>3</w:t>
            </w:r>
            <w:r>
              <w:rPr>
                <w:webHidden/>
              </w:rPr>
              <w:fldChar w:fldCharType="end"/>
            </w:r>
          </w:hyperlink>
        </w:p>
        <w:p>
          <w:pPr>
            <w:pStyle w:val="TOC1"/>
            <w:tabs>
              <w:tab w:val="clear" w:pos="720"/>
              <w:tab w:val="right" w:pos="9911" w:leader="dot"/>
            </w:tabs>
            <w:rPr>
              <w:rFonts w:ascii="Calibri" w:hAnsi="Calibri" w:eastAsia="新細明體" w:cs="Arial" w:asciiTheme="minorHAnsi" w:cstheme="minorBidi" w:eastAsiaTheme="minorEastAsia" w:hAnsiTheme="minorHAnsi"/>
              <w:b w:val="false"/>
              <w:bCs w:val="false"/>
              <w:sz w:val="22"/>
              <w:szCs w:val="22"/>
            </w:rPr>
          </w:pPr>
          <w:hyperlink w:anchor="_Toc194314065">
            <w:r>
              <w:rPr>
                <w:webHidden/>
                <w:rStyle w:val="Style15"/>
                <w:rFonts w:eastAsia="Calibri"/>
                <w:vanish w:val="false"/>
              </w:rPr>
              <w:t>Таблица 2.1 Требования по срокам поставки продукции</w:t>
            </w:r>
            <w:r>
              <w:rPr>
                <w:webHidden/>
              </w:rPr>
              <w:fldChar w:fldCharType="begin"/>
            </w:r>
            <w:r>
              <w:rPr>
                <w:webHidden/>
              </w:rPr>
              <w:instrText xml:space="preserve">PAGEREF _Toc194314065 \h</w:instrText>
            </w:r>
            <w:r>
              <w:rPr>
                <w:webHidden/>
              </w:rPr>
              <w:fldChar w:fldCharType="separate"/>
            </w:r>
            <w:r>
              <w:rPr>
                <w:rStyle w:val="Style15"/>
                <w:vanish w:val="false"/>
              </w:rPr>
              <w:tab/>
              <w:t>3</w:t>
            </w:r>
            <w:r>
              <w:rPr>
                <w:webHidden/>
              </w:rPr>
              <w:fldChar w:fldCharType="end"/>
            </w:r>
          </w:hyperlink>
        </w:p>
        <w:p>
          <w:pPr>
            <w:pStyle w:val="TOC4"/>
            <w:tabs>
              <w:tab w:val="clear" w:pos="720"/>
              <w:tab w:val="left" w:pos="1120" w:leader="none"/>
              <w:tab w:val="right" w:pos="9911" w:leader="dot"/>
            </w:tabs>
            <w:rPr>
              <w:rFonts w:ascii="Calibri" w:hAnsi="Calibri" w:eastAsia="新細明體" w:cs="Arial" w:asciiTheme="minorHAnsi" w:cstheme="minorBidi" w:eastAsiaTheme="minorEastAsia" w:hAnsiTheme="minorHAnsi"/>
              <w:sz w:val="22"/>
              <w:szCs w:val="22"/>
            </w:rPr>
          </w:pPr>
          <w:hyperlink w:anchor="_Toc194314066">
            <w:r>
              <w:rPr>
                <w:webHidden/>
                <w:rStyle w:val="Style15"/>
                <w:rFonts w:eastAsia="Calibri"/>
                <w:iCs/>
                <w:vanish w:val="false"/>
              </w:rPr>
              <w:t>2.2.</w:t>
            </w:r>
            <w:r>
              <w:rPr>
                <w:rStyle w:val="Style15"/>
                <w:rFonts w:eastAsia="新細明體" w:cs="Arial" w:ascii="Calibri" w:hAnsi="Calibri" w:asciiTheme="minorHAnsi" w:cstheme="minorBidi" w:eastAsiaTheme="minorEastAsia" w:hAnsiTheme="minorHAnsi"/>
                <w:sz w:val="22"/>
                <w:szCs w:val="22"/>
              </w:rPr>
              <w:tab/>
            </w:r>
            <w:r>
              <w:rPr>
                <w:rStyle w:val="Style15"/>
                <w:rFonts w:eastAsia="Calibri"/>
              </w:rPr>
              <w:t>Требования к качеству продукции</w:t>
            </w:r>
            <w:r>
              <w:rPr>
                <w:webHidden/>
              </w:rPr>
              <w:fldChar w:fldCharType="begin"/>
            </w:r>
            <w:r>
              <w:rPr>
                <w:webHidden/>
              </w:rPr>
              <w:instrText xml:space="preserve">PAGEREF _Toc194314066 \h</w:instrText>
            </w:r>
            <w:r>
              <w:rPr>
                <w:webHidden/>
              </w:rPr>
              <w:fldChar w:fldCharType="separate"/>
            </w:r>
            <w:r>
              <w:rPr>
                <w:rStyle w:val="Style15"/>
                <w:vanish w:val="false"/>
              </w:rPr>
              <w:tab/>
              <w:t>4</w:t>
            </w:r>
            <w:r>
              <w:rPr>
                <w:webHidden/>
              </w:rPr>
              <w:fldChar w:fldCharType="end"/>
            </w:r>
          </w:hyperlink>
        </w:p>
        <w:p>
          <w:pPr>
            <w:pStyle w:val="TOC1"/>
            <w:tabs>
              <w:tab w:val="clear" w:pos="720"/>
              <w:tab w:val="right" w:pos="9911" w:leader="dot"/>
            </w:tabs>
            <w:rPr>
              <w:rFonts w:ascii="Calibri" w:hAnsi="Calibri" w:eastAsia="新細明體" w:cs="Arial" w:asciiTheme="minorHAnsi" w:cstheme="minorBidi" w:eastAsiaTheme="minorEastAsia" w:hAnsiTheme="minorHAnsi"/>
              <w:b w:val="false"/>
              <w:bCs w:val="false"/>
              <w:sz w:val="22"/>
              <w:szCs w:val="22"/>
            </w:rPr>
          </w:pPr>
          <w:hyperlink w:anchor="_Toc194314067">
            <w:r>
              <w:rPr>
                <w:webHidden/>
                <w:rStyle w:val="Style15"/>
                <w:rFonts w:eastAsia="Calibri"/>
                <w:vanish w:val="false"/>
              </w:rPr>
              <w:t>Таблица 3. Требования к продукции</w:t>
            </w:r>
            <w:r>
              <w:rPr>
                <w:webHidden/>
              </w:rPr>
              <w:fldChar w:fldCharType="begin"/>
            </w:r>
            <w:r>
              <w:rPr>
                <w:webHidden/>
              </w:rPr>
              <w:instrText xml:space="preserve">PAGEREF _Toc194314067 \h</w:instrText>
            </w:r>
            <w:r>
              <w:rPr>
                <w:webHidden/>
              </w:rPr>
              <w:fldChar w:fldCharType="separate"/>
            </w:r>
            <w:r>
              <w:rPr>
                <w:rStyle w:val="Style15"/>
                <w:vanish w:val="false"/>
              </w:rPr>
              <w:tab/>
              <w:t>4</w:t>
            </w:r>
            <w:r>
              <w:rPr>
                <w:webHidden/>
              </w:rPr>
              <w:fldChar w:fldCharType="end"/>
            </w:r>
          </w:hyperlink>
        </w:p>
        <w:p>
          <w:pPr>
            <w:pStyle w:val="TOC1"/>
            <w:tabs>
              <w:tab w:val="clear" w:pos="720"/>
              <w:tab w:val="left" w:pos="560" w:leader="none"/>
              <w:tab w:val="right" w:pos="9911" w:leader="dot"/>
            </w:tabs>
            <w:rPr>
              <w:rFonts w:ascii="Calibri" w:hAnsi="Calibri" w:eastAsia="新細明體" w:cs="Arial" w:asciiTheme="minorHAnsi" w:cstheme="minorBidi" w:eastAsiaTheme="minorEastAsia" w:hAnsiTheme="minorHAnsi"/>
              <w:b w:val="false"/>
              <w:bCs w:val="false"/>
              <w:sz w:val="22"/>
              <w:szCs w:val="22"/>
            </w:rPr>
          </w:pPr>
          <w:hyperlink w:anchor="_Toc194314073">
            <w:r>
              <w:rPr>
                <w:webHidden/>
                <w:rStyle w:val="Style15"/>
                <w:rFonts w:eastAsia="Calibri"/>
                <w:vanish w:val="false"/>
              </w:rPr>
              <w:t>3.</w:t>
            </w:r>
            <w:r>
              <w:rPr>
                <w:rStyle w:val="Style15"/>
                <w:rFonts w:eastAsia="新細明體" w:cs="Arial" w:ascii="Calibri" w:hAnsi="Calibri" w:asciiTheme="minorHAnsi" w:cstheme="minorBidi" w:eastAsiaTheme="minorEastAsia" w:hAnsiTheme="minorHAnsi"/>
                <w:b w:val="false"/>
                <w:bCs w:val="false"/>
                <w:sz w:val="22"/>
                <w:szCs w:val="22"/>
              </w:rPr>
              <w:tab/>
            </w:r>
            <w:r>
              <w:rPr>
                <w:rStyle w:val="Style15"/>
                <w:rFonts w:eastAsia="Calibri"/>
              </w:rPr>
              <w:t>Требования к документации по ценообразованию на этапе закупки</w:t>
            </w:r>
            <w:r>
              <w:rPr>
                <w:webHidden/>
              </w:rPr>
              <w:fldChar w:fldCharType="begin"/>
            </w:r>
            <w:r>
              <w:rPr>
                <w:webHidden/>
              </w:rPr>
              <w:instrText xml:space="preserve">PAGEREF _Toc194314073 \h</w:instrText>
            </w:r>
            <w:r>
              <w:rPr>
                <w:webHidden/>
              </w:rPr>
              <w:fldChar w:fldCharType="separate"/>
            </w:r>
            <w:r>
              <w:rPr>
                <w:rStyle w:val="Style15"/>
                <w:vanish w:val="false"/>
              </w:rPr>
              <w:tab/>
              <w:t>25</w:t>
            </w:r>
            <w:r>
              <w:rPr>
                <w:webHidden/>
              </w:rPr>
              <w:fldChar w:fldCharType="end"/>
            </w:r>
          </w:hyperlink>
        </w:p>
        <w:p>
          <w:pPr>
            <w:pStyle w:val="TOC1"/>
            <w:tabs>
              <w:tab w:val="clear" w:pos="720"/>
              <w:tab w:val="left" w:pos="560" w:leader="none"/>
              <w:tab w:val="right" w:pos="9911" w:leader="dot"/>
            </w:tabs>
            <w:rPr>
              <w:rFonts w:ascii="Calibri" w:hAnsi="Calibri" w:eastAsia="新細明體" w:cs="Arial" w:asciiTheme="minorHAnsi" w:cstheme="minorBidi" w:eastAsiaTheme="minorEastAsia" w:hAnsiTheme="minorHAnsi"/>
              <w:b w:val="false"/>
              <w:bCs w:val="false"/>
              <w:sz w:val="22"/>
              <w:szCs w:val="22"/>
            </w:rPr>
          </w:pPr>
          <w:hyperlink w:anchor="_Toc194314075">
            <w:r>
              <w:rPr>
                <w:webHidden/>
                <w:rStyle w:val="Style15"/>
                <w:rFonts w:eastAsia="Calibri"/>
                <w:vanish w:val="false"/>
              </w:rPr>
              <w:t>4.</w:t>
            </w:r>
            <w:r>
              <w:rPr>
                <w:rStyle w:val="Style15"/>
                <w:rFonts w:eastAsia="新細明體" w:cs="Arial" w:ascii="Calibri" w:hAnsi="Calibri" w:asciiTheme="minorHAnsi" w:cstheme="minorBidi" w:eastAsiaTheme="minorEastAsia" w:hAnsiTheme="minorHAnsi"/>
                <w:b w:val="false"/>
                <w:bCs w:val="false"/>
                <w:sz w:val="22"/>
                <w:szCs w:val="22"/>
              </w:rPr>
              <w:tab/>
            </w:r>
            <w:r>
              <w:rPr>
                <w:rStyle w:val="Style15"/>
                <w:rFonts w:eastAsia="Calibri"/>
                <w:iCs/>
              </w:rPr>
              <w:t>Приложения</w:t>
            </w:r>
            <w:r>
              <w:rPr>
                <w:webHidden/>
              </w:rPr>
              <w:fldChar w:fldCharType="begin"/>
            </w:r>
            <w:r>
              <w:rPr>
                <w:webHidden/>
              </w:rPr>
              <w:instrText xml:space="preserve">PAGEREF _Toc194314075 \h</w:instrText>
            </w:r>
            <w:r>
              <w:rPr>
                <w:webHidden/>
              </w:rPr>
              <w:fldChar w:fldCharType="separate"/>
            </w:r>
            <w:r>
              <w:rPr>
                <w:rStyle w:val="Style15"/>
                <w:vanish w:val="false"/>
              </w:rPr>
              <w:tab/>
              <w:t>26</w:t>
            </w:r>
            <w:r>
              <w:rPr>
                <w:webHidden/>
              </w:rPr>
              <w:fldChar w:fldCharType="end"/>
            </w:r>
          </w:hyperlink>
          <w:r>
            <w:rPr>
              <w:rStyle w:val="Style15"/>
              <w:vanish w:val="false"/>
            </w:rPr>
            <w:fldChar w:fldCharType="end"/>
          </w:r>
        </w:p>
      </w:sdtContent>
    </w:sdt>
    <w:p>
      <w:pPr>
        <w:pStyle w:val="TOC1"/>
        <w:tabs>
          <w:tab w:val="clear" w:pos="720"/>
          <w:tab w:val="left" w:pos="560" w:leader="none"/>
          <w:tab w:val="right" w:pos="9911" w:leader="dot"/>
        </w:tabs>
        <w:rPr/>
      </w:pPr>
      <w:r>
        <w:rPr/>
      </w:r>
    </w:p>
    <w:p>
      <w:pPr>
        <w:pStyle w:val="Heading2"/>
        <w:tabs>
          <w:tab w:val="clear" w:pos="0"/>
        </w:tabs>
        <w:ind w:left="0" w:hanging="0"/>
        <w:rPr>
          <w:b w:val="false"/>
          <w:i/>
          <w:i/>
        </w:rPr>
      </w:pPr>
      <w:r>
        <w:rPr>
          <w:b w:val="false"/>
          <w:i/>
        </w:rPr>
      </w:r>
    </w:p>
    <w:p>
      <w:pPr>
        <w:pStyle w:val="Normal"/>
        <w:keepNext w:val="true"/>
        <w:keepLines/>
        <w:jc w:val="center"/>
        <w:rPr>
          <w:rFonts w:eastAsia="Calibri"/>
          <w:b/>
          <w:i/>
          <w:i/>
          <w:sz w:val="24"/>
          <w:szCs w:val="24"/>
        </w:rPr>
      </w:pPr>
      <w:r>
        <w:rPr>
          <w:rFonts w:eastAsia="Calibri"/>
          <w:b/>
          <w:i/>
          <w:sz w:val="24"/>
          <w:szCs w:val="24"/>
        </w:rPr>
      </w:r>
      <w:r>
        <w:br w:type="page"/>
      </w:r>
    </w:p>
    <w:p>
      <w:pPr>
        <w:pStyle w:val="Heading1"/>
        <w:keepLines/>
        <w:numPr>
          <w:ilvl w:val="0"/>
          <w:numId w:val="3"/>
        </w:numPr>
        <w:ind w:left="357" w:hanging="357"/>
        <w:jc w:val="center"/>
        <w:rPr/>
      </w:pPr>
      <w:bookmarkStart w:id="6" w:name="_Toc51339692"/>
      <w:bookmarkStart w:id="7" w:name="_Toc194314057"/>
      <w:r>
        <w:rPr>
          <w:lang w:val="ru-RU"/>
        </w:rPr>
        <w:t>Общие сведения</w:t>
      </w:r>
      <w:bookmarkEnd w:id="6"/>
      <w:bookmarkEnd w:id="7"/>
    </w:p>
    <w:p>
      <w:pPr>
        <w:pStyle w:val="Heading4"/>
        <w:numPr>
          <w:ilvl w:val="1"/>
          <w:numId w:val="3"/>
        </w:numPr>
        <w:ind w:left="432" w:hanging="432"/>
        <w:rPr/>
      </w:pPr>
      <w:bookmarkStart w:id="8" w:name="_Toc46743506"/>
      <w:bookmarkStart w:id="9" w:name="_Toc194314058"/>
      <w:r>
        <w:rPr/>
        <w:t>Наименование закупаемой продукции</w:t>
      </w:r>
      <w:bookmarkEnd w:id="8"/>
      <w:bookmarkEnd w:id="9"/>
    </w:p>
    <w:p>
      <w:pPr>
        <w:pStyle w:val="Normal"/>
        <w:ind w:firstLine="284"/>
        <w:jc w:val="both"/>
        <w:rPr/>
      </w:pPr>
      <w:r>
        <w:rPr>
          <w:rFonts w:eastAsia="Calibri"/>
          <w:sz w:val="24"/>
          <w:szCs w:val="24"/>
        </w:rPr>
        <w:t>«</w:t>
      </w:r>
      <w:r>
        <w:rPr>
          <w:color w:val="000000"/>
          <w:sz w:val="24"/>
          <w:szCs w:val="24"/>
        </w:rPr>
        <w:t>ОКПД2 14.12.Поставка средств индивидуальной защиты от общих производственных загрязнений в корпоративном стиле Группы РусГидро для нужд филиала ПАО "РусГидро"-"Камская ГЭС"</w:t>
      </w:r>
      <w:r>
        <w:rPr>
          <w:rFonts w:eastAsia="Calibri"/>
          <w:b/>
          <w:sz w:val="24"/>
          <w:szCs w:val="24"/>
        </w:rPr>
        <w:t>»</w:t>
      </w:r>
    </w:p>
    <w:p>
      <w:pPr>
        <w:pStyle w:val="Heading4"/>
        <w:numPr>
          <w:ilvl w:val="1"/>
          <w:numId w:val="3"/>
        </w:numPr>
        <w:spacing w:before="240" w:after="60"/>
        <w:ind w:left="431" w:hanging="431"/>
        <w:rPr/>
      </w:pPr>
      <w:bookmarkStart w:id="10" w:name="_Toc194314059"/>
      <w:bookmarkStart w:id="11" w:name="_Toc46743507"/>
      <w:r>
        <w:rPr/>
        <w:t xml:space="preserve">Цель </w:t>
      </w:r>
      <w:bookmarkEnd w:id="11"/>
      <w:r>
        <w:rPr>
          <w:lang w:val="ru-RU"/>
        </w:rPr>
        <w:t>использования закупаемой продукции</w:t>
      </w:r>
      <w:bookmarkEnd w:id="10"/>
      <w:r>
        <w:rPr>
          <w:lang w:val="ru-RU"/>
        </w:rPr>
        <w:t xml:space="preserve"> </w:t>
      </w:r>
    </w:p>
    <w:p>
      <w:pPr>
        <w:pStyle w:val="Normal"/>
        <w:widowControl w:val="false"/>
        <w:tabs>
          <w:tab w:val="clear" w:pos="720"/>
          <w:tab w:val="left" w:pos="426" w:leader="none"/>
        </w:tabs>
        <w:spacing w:before="120" w:after="240"/>
        <w:ind w:firstLine="142"/>
        <w:jc w:val="both"/>
        <w:rPr/>
      </w:pPr>
      <w:r>
        <w:rPr/>
        <w:t xml:space="preserve"> </w:t>
      </w:r>
      <w:r>
        <w:rPr>
          <w:sz w:val="24"/>
          <w:szCs w:val="24"/>
        </w:rPr>
        <w:t>Обеспечение работников филиала ПАО «РусГидро» - «Камская ГЭС» в 2026 г. средствами индивидуальной защиты от общих производственных загрязнений согласно утвержденным нормам и требованиям.</w:t>
      </w:r>
    </w:p>
    <w:p>
      <w:pPr>
        <w:pStyle w:val="Normal"/>
        <w:widowControl w:val="false"/>
        <w:tabs>
          <w:tab w:val="clear" w:pos="720"/>
          <w:tab w:val="left" w:pos="426" w:leader="none"/>
        </w:tabs>
        <w:spacing w:before="120" w:after="240"/>
        <w:ind w:hanging="0"/>
        <w:jc w:val="both"/>
        <w:rPr>
          <w:b/>
          <w:bCs/>
        </w:rPr>
      </w:pPr>
      <w:r>
        <w:rPr>
          <w:b/>
          <w:bCs/>
          <w:sz w:val="24"/>
          <w:szCs w:val="24"/>
        </w:rPr>
        <w:t>1.3. Иные требования и сведения общего характера</w:t>
      </w:r>
    </w:p>
    <w:p>
      <w:pPr>
        <w:pStyle w:val="Normal"/>
        <w:widowControl w:val="false"/>
        <w:tabs>
          <w:tab w:val="clear" w:pos="720"/>
          <w:tab w:val="left" w:pos="426" w:leader="none"/>
        </w:tabs>
        <w:spacing w:before="120" w:after="240"/>
        <w:ind w:hanging="0"/>
        <w:jc w:val="both"/>
        <w:rPr/>
      </w:pPr>
      <w:r>
        <w:rPr>
          <w:sz w:val="24"/>
          <w:szCs w:val="28"/>
        </w:rPr>
        <w:t>Размеры средств индивидуальной защиты уточняются в заявке Заказчика.</w:t>
      </w:r>
    </w:p>
    <w:p>
      <w:pPr>
        <w:pStyle w:val="Heading1"/>
        <w:keepLines/>
        <w:numPr>
          <w:ilvl w:val="0"/>
          <w:numId w:val="3"/>
        </w:numPr>
        <w:ind w:left="357" w:hanging="357"/>
        <w:jc w:val="center"/>
        <w:rPr/>
      </w:pPr>
      <w:bookmarkStart w:id="12" w:name="_Toc51339693"/>
      <w:bookmarkStart w:id="13" w:name="_Toc194314060"/>
      <w:r>
        <w:rPr>
          <w:iCs/>
        </w:rPr>
        <w:t>Требования к продукции</w:t>
      </w:r>
      <w:bookmarkEnd w:id="12"/>
      <w:bookmarkEnd w:id="13"/>
    </w:p>
    <w:p>
      <w:pPr>
        <w:pStyle w:val="Heading4"/>
        <w:numPr>
          <w:ilvl w:val="1"/>
          <w:numId w:val="3"/>
        </w:numPr>
        <w:ind w:left="432" w:hanging="432"/>
        <w:rPr/>
      </w:pPr>
      <w:bookmarkStart w:id="14" w:name="_Toc194314061"/>
      <w:r>
        <w:rPr/>
        <w:t xml:space="preserve">Требования к объемам и срокам </w:t>
      </w:r>
      <w:r>
        <w:rPr>
          <w:lang w:val="ru-RU"/>
        </w:rPr>
        <w:t>поставки</w:t>
      </w:r>
      <w:bookmarkEnd w:id="14"/>
    </w:p>
    <w:p>
      <w:pPr>
        <w:pStyle w:val="Heading3"/>
        <w:numPr>
          <w:ilvl w:val="2"/>
          <w:numId w:val="3"/>
        </w:numPr>
        <w:rPr/>
      </w:pPr>
      <w:bookmarkStart w:id="15" w:name="_Toc194314062"/>
      <w:r>
        <w:rPr>
          <w:lang w:val="ru-RU"/>
        </w:rPr>
        <w:t>Перечень и объем закупаемой продукции</w:t>
      </w:r>
      <w:bookmarkEnd w:id="15"/>
    </w:p>
    <w:p>
      <w:pPr>
        <w:pStyle w:val="Heading1"/>
        <w:keepLines/>
        <w:tabs>
          <w:tab w:val="clear" w:pos="0"/>
        </w:tabs>
        <w:spacing w:before="240" w:after="60"/>
        <w:ind w:left="0" w:hanging="0"/>
        <w:rPr/>
      </w:pPr>
      <w:bookmarkStart w:id="16" w:name="_Toc194314063"/>
      <w:bookmarkStart w:id="17" w:name="_Toc51339695"/>
      <w:r>
        <w:rPr>
          <w:sz w:val="24"/>
          <w:szCs w:val="24"/>
        </w:rPr>
        <w:t xml:space="preserve">Таблица </w:t>
      </w:r>
      <w:r>
        <w:rPr>
          <w:sz w:val="24"/>
          <w:szCs w:val="24"/>
          <w:lang w:val="ru-RU"/>
        </w:rPr>
        <w:t>1.1</w:t>
      </w:r>
      <w:r>
        <w:rPr>
          <w:sz w:val="24"/>
          <w:szCs w:val="24"/>
        </w:rPr>
        <w:t xml:space="preserve"> </w:t>
      </w:r>
      <w:r>
        <w:rPr>
          <w:sz w:val="24"/>
          <w:szCs w:val="24"/>
          <w:lang w:val="ru-RU"/>
        </w:rPr>
        <w:t xml:space="preserve">Перечень </w:t>
      </w:r>
      <w:bookmarkEnd w:id="17"/>
      <w:r>
        <w:rPr>
          <w:sz w:val="24"/>
          <w:szCs w:val="24"/>
          <w:lang w:val="ru-RU"/>
        </w:rPr>
        <w:t>и объем закупаемой продукции</w:t>
      </w:r>
      <w:bookmarkEnd w:id="16"/>
    </w:p>
    <w:tbl>
      <w:tblPr>
        <w:tblW w:w="9952" w:type="dxa"/>
        <w:jc w:val="left"/>
        <w:tblInd w:w="108" w:type="dxa"/>
        <w:tblLayout w:type="fixed"/>
        <w:tblCellMar>
          <w:top w:w="0" w:type="dxa"/>
          <w:left w:w="108" w:type="dxa"/>
          <w:bottom w:w="0" w:type="dxa"/>
          <w:right w:w="108" w:type="dxa"/>
        </w:tblCellMar>
        <w:tblLook w:val="0000" w:noHBand="0" w:noVBand="0" w:firstColumn="0" w:lastRow="0" w:lastColumn="0" w:firstRow="0"/>
      </w:tblPr>
      <w:tblGrid>
        <w:gridCol w:w="829"/>
        <w:gridCol w:w="6153"/>
        <w:gridCol w:w="1422"/>
        <w:gridCol w:w="1547"/>
      </w:tblGrid>
      <w:tr>
        <w:trPr/>
        <w:tc>
          <w:tcPr>
            <w:tcW w:w="829" w:type="dxa"/>
            <w:tcBorders>
              <w:top w:val="single" w:sz="4" w:space="0" w:color="000000"/>
              <w:left w:val="single" w:sz="4" w:space="0" w:color="000000"/>
              <w:bottom w:val="single" w:sz="4" w:space="0" w:color="000000"/>
              <w:right w:val="single" w:sz="4" w:space="0" w:color="000000"/>
            </w:tcBorders>
            <w:vAlign w:val="center"/>
          </w:tcPr>
          <w:p>
            <w:pPr>
              <w:pStyle w:val="Normal"/>
              <w:keepNext w:val="true"/>
              <w:widowControl w:val="false"/>
              <w:jc w:val="center"/>
              <w:rPr/>
            </w:pPr>
            <w:r>
              <w:rPr>
                <w:sz w:val="24"/>
                <w:szCs w:val="24"/>
              </w:rPr>
              <w:t>№</w:t>
            </w:r>
          </w:p>
          <w:p>
            <w:pPr>
              <w:pStyle w:val="Normal"/>
              <w:keepNext w:val="true"/>
              <w:widowControl w:val="false"/>
              <w:jc w:val="center"/>
              <w:rPr/>
            </w:pPr>
            <w:r>
              <w:rPr>
                <w:sz w:val="24"/>
                <w:szCs w:val="24"/>
              </w:rPr>
              <w:t>п/п</w:t>
            </w:r>
          </w:p>
        </w:tc>
        <w:tc>
          <w:tcPr>
            <w:tcW w:w="6153" w:type="dxa"/>
            <w:tcBorders>
              <w:top w:val="single" w:sz="4" w:space="0" w:color="000000"/>
              <w:left w:val="single" w:sz="4" w:space="0" w:color="000000"/>
              <w:bottom w:val="single" w:sz="4" w:space="0" w:color="000000"/>
              <w:right w:val="single" w:sz="4" w:space="0" w:color="000000"/>
            </w:tcBorders>
            <w:vAlign w:val="center"/>
          </w:tcPr>
          <w:p>
            <w:pPr>
              <w:pStyle w:val="Normal"/>
              <w:keepNext w:val="true"/>
              <w:widowControl w:val="false"/>
              <w:jc w:val="center"/>
              <w:rPr/>
            </w:pPr>
            <w:r>
              <w:rPr>
                <w:sz w:val="24"/>
                <w:szCs w:val="24"/>
              </w:rPr>
              <w:t>Наименование продукции</w:t>
            </w:r>
          </w:p>
        </w:tc>
        <w:tc>
          <w:tcPr>
            <w:tcW w:w="1422" w:type="dxa"/>
            <w:tcBorders>
              <w:top w:val="single" w:sz="4" w:space="0" w:color="000000"/>
              <w:left w:val="single" w:sz="4" w:space="0" w:color="000000"/>
              <w:bottom w:val="single" w:sz="4" w:space="0" w:color="000000"/>
              <w:right w:val="single" w:sz="4" w:space="0" w:color="000000"/>
            </w:tcBorders>
            <w:vAlign w:val="center"/>
          </w:tcPr>
          <w:p>
            <w:pPr>
              <w:pStyle w:val="Normal"/>
              <w:keepNext w:val="true"/>
              <w:widowControl w:val="false"/>
              <w:jc w:val="center"/>
              <w:rPr/>
            </w:pPr>
            <w:r>
              <w:rPr>
                <w:sz w:val="24"/>
                <w:szCs w:val="24"/>
              </w:rPr>
              <w:t>Единица измерения</w:t>
            </w:r>
          </w:p>
        </w:tc>
        <w:tc>
          <w:tcPr>
            <w:tcW w:w="1547" w:type="dxa"/>
            <w:tcBorders>
              <w:top w:val="single" w:sz="4" w:space="0" w:color="000000"/>
              <w:left w:val="single" w:sz="4" w:space="0" w:color="000000"/>
              <w:bottom w:val="single" w:sz="4" w:space="0" w:color="000000"/>
              <w:right w:val="single" w:sz="4" w:space="0" w:color="000000"/>
            </w:tcBorders>
            <w:vAlign w:val="center"/>
          </w:tcPr>
          <w:p>
            <w:pPr>
              <w:pStyle w:val="Normal"/>
              <w:keepNext w:val="true"/>
              <w:widowControl w:val="false"/>
              <w:jc w:val="center"/>
              <w:rPr/>
            </w:pPr>
            <w:r>
              <w:rPr>
                <w:sz w:val="24"/>
                <w:szCs w:val="24"/>
              </w:rPr>
              <w:t>Количество</w:t>
            </w:r>
          </w:p>
        </w:tc>
      </w:tr>
      <w:tr>
        <w:trPr/>
        <w:tc>
          <w:tcPr>
            <w:tcW w:w="829"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b/>
                <w:sz w:val="24"/>
                <w:szCs w:val="24"/>
              </w:rPr>
              <w:t>1</w:t>
            </w:r>
          </w:p>
        </w:tc>
        <w:tc>
          <w:tcPr>
            <w:tcW w:w="6153"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b/>
                <w:sz w:val="24"/>
                <w:szCs w:val="24"/>
              </w:rPr>
              <w:t>2</w:t>
            </w:r>
          </w:p>
        </w:tc>
        <w:tc>
          <w:tcPr>
            <w:tcW w:w="1422"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b/>
                <w:sz w:val="24"/>
                <w:szCs w:val="24"/>
              </w:rPr>
              <w:t>3</w:t>
            </w:r>
          </w:p>
        </w:tc>
        <w:tc>
          <w:tcPr>
            <w:tcW w:w="154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b/>
                <w:sz w:val="24"/>
                <w:szCs w:val="24"/>
              </w:rPr>
              <w:t>4</w:t>
            </w:r>
          </w:p>
        </w:tc>
      </w:tr>
      <w:tr>
        <w:trPr>
          <w:trHeight w:val="189" w:hRule="atLeast"/>
        </w:trPr>
        <w:tc>
          <w:tcPr>
            <w:tcW w:w="829"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sz w:val="24"/>
                <w:lang w:val="en-US"/>
              </w:rPr>
              <w:t>1</w:t>
            </w:r>
          </w:p>
        </w:tc>
        <w:tc>
          <w:tcPr>
            <w:tcW w:w="6153" w:type="dxa"/>
            <w:tcBorders>
              <w:top w:val="single" w:sz="4" w:space="0" w:color="000000"/>
              <w:left w:val="single" w:sz="4" w:space="0" w:color="000000"/>
              <w:bottom w:val="single" w:sz="4" w:space="0" w:color="000000"/>
              <w:right w:val="single" w:sz="4" w:space="0" w:color="000000"/>
            </w:tcBorders>
          </w:tcPr>
          <w:p>
            <w:pPr>
              <w:pStyle w:val="Normal"/>
              <w:widowControl w:val="false"/>
              <w:jc w:val="both"/>
              <w:rPr/>
            </w:pPr>
            <w:r>
              <w:rPr>
                <w:sz w:val="24"/>
                <w:szCs w:val="24"/>
              </w:rPr>
              <w:t>Костюм летний для защиты от ОПЗ для ИТР (куртка/брюки) мужской.</w:t>
            </w:r>
          </w:p>
        </w:tc>
        <w:tc>
          <w:tcPr>
            <w:tcW w:w="1422"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sz w:val="24"/>
                <w:szCs w:val="24"/>
                <w:lang w:val="en-US"/>
              </w:rPr>
              <w:t>шт.</w:t>
            </w:r>
          </w:p>
        </w:tc>
        <w:tc>
          <w:tcPr>
            <w:tcW w:w="154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sz w:val="24"/>
                <w:szCs w:val="24"/>
                <w:lang w:val="en-US"/>
              </w:rPr>
              <w:t>40</w:t>
            </w:r>
          </w:p>
        </w:tc>
      </w:tr>
      <w:tr>
        <w:trPr>
          <w:trHeight w:val="189" w:hRule="atLeast"/>
        </w:trPr>
        <w:tc>
          <w:tcPr>
            <w:tcW w:w="829"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sz w:val="24"/>
                <w:lang w:val="en-US"/>
              </w:rPr>
              <w:t>2</w:t>
            </w:r>
          </w:p>
        </w:tc>
        <w:tc>
          <w:tcPr>
            <w:tcW w:w="6153" w:type="dxa"/>
            <w:tcBorders>
              <w:top w:val="single" w:sz="4" w:space="0" w:color="000000"/>
              <w:left w:val="single" w:sz="4" w:space="0" w:color="000000"/>
              <w:bottom w:val="single" w:sz="4" w:space="0" w:color="000000"/>
              <w:right w:val="single" w:sz="4" w:space="0" w:color="000000"/>
            </w:tcBorders>
          </w:tcPr>
          <w:p>
            <w:pPr>
              <w:pStyle w:val="Normal"/>
              <w:widowControl w:val="false"/>
              <w:jc w:val="both"/>
              <w:rPr/>
            </w:pPr>
            <w:r>
              <w:rPr>
                <w:sz w:val="24"/>
                <w:szCs w:val="24"/>
              </w:rPr>
              <w:t xml:space="preserve">Костюм летний для защиты от ОПЗ для ИТР (куртка/брюки) женский. </w:t>
            </w:r>
          </w:p>
        </w:tc>
        <w:tc>
          <w:tcPr>
            <w:tcW w:w="1422"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sz w:val="24"/>
                <w:szCs w:val="24"/>
                <w:lang w:val="en-US"/>
              </w:rPr>
              <w:t>шт.</w:t>
            </w:r>
          </w:p>
        </w:tc>
        <w:tc>
          <w:tcPr>
            <w:tcW w:w="154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sz w:val="24"/>
                <w:szCs w:val="24"/>
                <w:lang w:val="en-US"/>
              </w:rPr>
              <w:t>5</w:t>
            </w:r>
          </w:p>
        </w:tc>
      </w:tr>
      <w:tr>
        <w:trPr>
          <w:trHeight w:val="189" w:hRule="atLeast"/>
        </w:trPr>
        <w:tc>
          <w:tcPr>
            <w:tcW w:w="829"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sz w:val="24"/>
                <w:lang w:val="en-US"/>
              </w:rPr>
              <w:t>3</w:t>
            </w:r>
          </w:p>
        </w:tc>
        <w:tc>
          <w:tcPr>
            <w:tcW w:w="6153" w:type="dxa"/>
            <w:tcBorders>
              <w:top w:val="single" w:sz="4" w:space="0" w:color="000000"/>
              <w:left w:val="single" w:sz="4" w:space="0" w:color="000000"/>
              <w:bottom w:val="single" w:sz="4" w:space="0" w:color="000000"/>
              <w:right w:val="single" w:sz="4" w:space="0" w:color="000000"/>
            </w:tcBorders>
          </w:tcPr>
          <w:p>
            <w:pPr>
              <w:pStyle w:val="Normal"/>
              <w:widowControl w:val="false"/>
              <w:jc w:val="both"/>
              <w:rPr/>
            </w:pPr>
            <w:r>
              <w:rPr>
                <w:sz w:val="24"/>
                <w:szCs w:val="24"/>
              </w:rPr>
              <w:t>Костюм утепленный для защиты от ОПЗ для ИТР (куртка с капюшоном/брюки) мужской</w:t>
            </w:r>
          </w:p>
        </w:tc>
        <w:tc>
          <w:tcPr>
            <w:tcW w:w="1422"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sz w:val="24"/>
                <w:szCs w:val="24"/>
                <w:lang w:val="en-US"/>
              </w:rPr>
              <w:t>шт.</w:t>
            </w:r>
          </w:p>
        </w:tc>
        <w:tc>
          <w:tcPr>
            <w:tcW w:w="154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sz w:val="24"/>
                <w:szCs w:val="24"/>
                <w:lang w:val="en-US"/>
              </w:rPr>
              <w:t>25</w:t>
            </w:r>
          </w:p>
        </w:tc>
      </w:tr>
      <w:tr>
        <w:trPr/>
        <w:tc>
          <w:tcPr>
            <w:tcW w:w="829"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sz w:val="24"/>
                <w:lang w:val="en-US"/>
              </w:rPr>
              <w:t>4</w:t>
            </w:r>
          </w:p>
        </w:tc>
        <w:tc>
          <w:tcPr>
            <w:tcW w:w="6153" w:type="dxa"/>
            <w:tcBorders>
              <w:top w:val="single" w:sz="4" w:space="0" w:color="000000"/>
              <w:left w:val="single" w:sz="4" w:space="0" w:color="000000"/>
              <w:bottom w:val="single" w:sz="4" w:space="0" w:color="000000"/>
              <w:right w:val="single" w:sz="4" w:space="0" w:color="000000"/>
            </w:tcBorders>
          </w:tcPr>
          <w:p>
            <w:pPr>
              <w:pStyle w:val="Normal"/>
              <w:widowControl w:val="false"/>
              <w:jc w:val="both"/>
              <w:rPr/>
            </w:pPr>
            <w:r>
              <w:rPr>
                <w:sz w:val="24"/>
                <w:szCs w:val="24"/>
              </w:rPr>
              <w:t>Костюм утепленный для защиты от ОПЗ для ИТР (куртка с капюшоном/брюки) женский</w:t>
            </w:r>
          </w:p>
        </w:tc>
        <w:tc>
          <w:tcPr>
            <w:tcW w:w="1422"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sz w:val="24"/>
                <w:szCs w:val="24"/>
                <w:lang w:val="en-US"/>
              </w:rPr>
              <w:t>шт.</w:t>
            </w:r>
          </w:p>
        </w:tc>
        <w:tc>
          <w:tcPr>
            <w:tcW w:w="154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sz w:val="24"/>
                <w:szCs w:val="24"/>
                <w:lang w:val="en-US"/>
              </w:rPr>
              <w:t>5</w:t>
            </w:r>
          </w:p>
        </w:tc>
      </w:tr>
      <w:tr>
        <w:trPr/>
        <w:tc>
          <w:tcPr>
            <w:tcW w:w="829" w:type="dxa"/>
            <w:tcBorders>
              <w:left w:val="single" w:sz="4" w:space="0" w:color="000000"/>
              <w:bottom w:val="single" w:sz="4" w:space="0" w:color="000000"/>
              <w:right w:val="single" w:sz="4" w:space="0" w:color="000000"/>
            </w:tcBorders>
          </w:tcPr>
          <w:p>
            <w:pPr>
              <w:pStyle w:val="Normal"/>
              <w:widowControl w:val="false"/>
              <w:jc w:val="center"/>
              <w:rPr>
                <w:sz w:val="24"/>
              </w:rPr>
            </w:pPr>
            <w:r>
              <w:rPr>
                <w:sz w:val="24"/>
              </w:rPr>
              <w:t>5</w:t>
            </w:r>
          </w:p>
        </w:tc>
        <w:tc>
          <w:tcPr>
            <w:tcW w:w="6153" w:type="dxa"/>
            <w:tcBorders>
              <w:left w:val="single" w:sz="4" w:space="0" w:color="000000"/>
              <w:bottom w:val="single" w:sz="4" w:space="0" w:color="000000"/>
              <w:right w:val="single" w:sz="4" w:space="0" w:color="000000"/>
            </w:tcBorders>
          </w:tcPr>
          <w:p>
            <w:pPr>
              <w:pStyle w:val="Normal"/>
              <w:widowControl w:val="false"/>
              <w:jc w:val="both"/>
              <w:rPr>
                <w:sz w:val="24"/>
              </w:rPr>
            </w:pPr>
            <w:r>
              <w:rPr>
                <w:sz w:val="24"/>
              </w:rPr>
              <w:t>Каска защитная с храповиком (цвет - белый)</w:t>
            </w:r>
          </w:p>
        </w:tc>
        <w:tc>
          <w:tcPr>
            <w:tcW w:w="1422" w:type="dxa"/>
            <w:tcBorders>
              <w:left w:val="single" w:sz="4" w:space="0" w:color="000000"/>
              <w:bottom w:val="single" w:sz="4" w:space="0" w:color="000000"/>
              <w:right w:val="single" w:sz="4" w:space="0" w:color="000000"/>
            </w:tcBorders>
          </w:tcPr>
          <w:p>
            <w:pPr>
              <w:pStyle w:val="Normal"/>
              <w:widowControl w:val="false"/>
              <w:jc w:val="center"/>
              <w:rPr>
                <w:sz w:val="24"/>
              </w:rPr>
            </w:pPr>
            <w:r>
              <w:rPr>
                <w:sz w:val="24"/>
              </w:rPr>
              <w:t>шт.</w:t>
            </w:r>
          </w:p>
        </w:tc>
        <w:tc>
          <w:tcPr>
            <w:tcW w:w="1547" w:type="dxa"/>
            <w:tcBorders>
              <w:left w:val="single" w:sz="4" w:space="0" w:color="000000"/>
              <w:bottom w:val="single" w:sz="4" w:space="0" w:color="000000"/>
              <w:right w:val="single" w:sz="4" w:space="0" w:color="000000"/>
            </w:tcBorders>
          </w:tcPr>
          <w:p>
            <w:pPr>
              <w:pStyle w:val="Normal"/>
              <w:widowControl w:val="false"/>
              <w:jc w:val="center"/>
              <w:rPr>
                <w:sz w:val="24"/>
              </w:rPr>
            </w:pPr>
            <w:r>
              <w:rPr>
                <w:sz w:val="24"/>
              </w:rPr>
              <w:t>37</w:t>
            </w:r>
          </w:p>
        </w:tc>
      </w:tr>
      <w:tr>
        <w:trPr/>
        <w:tc>
          <w:tcPr>
            <w:tcW w:w="829" w:type="dxa"/>
            <w:tcBorders>
              <w:left w:val="single" w:sz="4" w:space="0" w:color="000000"/>
              <w:bottom w:val="single" w:sz="4" w:space="0" w:color="000000"/>
              <w:right w:val="single" w:sz="4" w:space="0" w:color="000000"/>
            </w:tcBorders>
          </w:tcPr>
          <w:p>
            <w:pPr>
              <w:pStyle w:val="Normal"/>
              <w:widowControl w:val="false"/>
              <w:jc w:val="center"/>
              <w:rPr>
                <w:sz w:val="24"/>
              </w:rPr>
            </w:pPr>
            <w:r>
              <w:rPr>
                <w:sz w:val="24"/>
              </w:rPr>
              <w:t>6</w:t>
            </w:r>
          </w:p>
        </w:tc>
        <w:tc>
          <w:tcPr>
            <w:tcW w:w="6153" w:type="dxa"/>
            <w:tcBorders>
              <w:left w:val="single" w:sz="4" w:space="0" w:color="000000"/>
              <w:bottom w:val="single" w:sz="4" w:space="0" w:color="000000"/>
              <w:right w:val="single" w:sz="4" w:space="0" w:color="000000"/>
            </w:tcBorders>
          </w:tcPr>
          <w:p>
            <w:pPr>
              <w:pStyle w:val="Normal"/>
              <w:widowControl w:val="false"/>
              <w:jc w:val="both"/>
              <w:rPr>
                <w:sz w:val="24"/>
              </w:rPr>
            </w:pPr>
            <w:r>
              <w:rPr>
                <w:sz w:val="24"/>
              </w:rPr>
              <w:t>Каска защитная с храповиком (цвет - оранжевый)</w:t>
            </w:r>
          </w:p>
        </w:tc>
        <w:tc>
          <w:tcPr>
            <w:tcW w:w="1422" w:type="dxa"/>
            <w:tcBorders>
              <w:left w:val="single" w:sz="4" w:space="0" w:color="000000"/>
              <w:bottom w:val="single" w:sz="4" w:space="0" w:color="000000"/>
              <w:right w:val="single" w:sz="4" w:space="0" w:color="000000"/>
            </w:tcBorders>
          </w:tcPr>
          <w:p>
            <w:pPr>
              <w:pStyle w:val="Normal"/>
              <w:widowControl w:val="false"/>
              <w:jc w:val="center"/>
              <w:rPr>
                <w:sz w:val="24"/>
              </w:rPr>
            </w:pPr>
            <w:r>
              <w:rPr>
                <w:sz w:val="24"/>
              </w:rPr>
              <w:t>шт.</w:t>
            </w:r>
          </w:p>
        </w:tc>
        <w:tc>
          <w:tcPr>
            <w:tcW w:w="1547" w:type="dxa"/>
            <w:tcBorders>
              <w:left w:val="single" w:sz="4" w:space="0" w:color="000000"/>
              <w:bottom w:val="single" w:sz="4" w:space="0" w:color="000000"/>
              <w:right w:val="single" w:sz="4" w:space="0" w:color="000000"/>
            </w:tcBorders>
          </w:tcPr>
          <w:p>
            <w:pPr>
              <w:pStyle w:val="Normal"/>
              <w:widowControl w:val="false"/>
              <w:jc w:val="center"/>
              <w:rPr>
                <w:sz w:val="24"/>
              </w:rPr>
            </w:pPr>
            <w:r>
              <w:rPr>
                <w:sz w:val="24"/>
              </w:rPr>
              <w:t>5</w:t>
            </w:r>
          </w:p>
        </w:tc>
      </w:tr>
      <w:tr>
        <w:trPr>
          <w:trHeight w:val="70" w:hRule="atLeast"/>
        </w:trPr>
        <w:tc>
          <w:tcPr>
            <w:tcW w:w="829"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sz w:val="24"/>
                <w:lang w:val="en-US"/>
              </w:rPr>
            </w:pPr>
            <w:r>
              <w:rPr>
                <w:sz w:val="24"/>
                <w:lang w:val="en-US"/>
              </w:rPr>
              <w:t>7</w:t>
            </w:r>
          </w:p>
        </w:tc>
        <w:tc>
          <w:tcPr>
            <w:tcW w:w="6153" w:type="dxa"/>
            <w:tcBorders>
              <w:top w:val="single" w:sz="4" w:space="0" w:color="000000"/>
              <w:left w:val="single" w:sz="4" w:space="0" w:color="000000"/>
              <w:bottom w:val="single" w:sz="4" w:space="0" w:color="000000"/>
              <w:right w:val="single" w:sz="4" w:space="0" w:color="000000"/>
            </w:tcBorders>
          </w:tcPr>
          <w:p>
            <w:pPr>
              <w:pStyle w:val="Normal"/>
              <w:widowControl w:val="false"/>
              <w:jc w:val="both"/>
              <w:rPr>
                <w:sz w:val="24"/>
              </w:rPr>
            </w:pPr>
            <w:r>
              <w:rPr>
                <w:sz w:val="24"/>
              </w:rPr>
              <w:t>Сапоги с защитным подноском утепленные</w:t>
            </w:r>
          </w:p>
        </w:tc>
        <w:tc>
          <w:tcPr>
            <w:tcW w:w="1422"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sz w:val="24"/>
                <w:lang w:val="en-US"/>
              </w:rPr>
            </w:pPr>
            <w:r>
              <w:rPr>
                <w:sz w:val="24"/>
                <w:lang w:val="en-US"/>
              </w:rPr>
              <w:t>пара</w:t>
            </w:r>
          </w:p>
        </w:tc>
        <w:tc>
          <w:tcPr>
            <w:tcW w:w="154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sz w:val="24"/>
                <w:lang w:val="en-US"/>
              </w:rPr>
            </w:pPr>
            <w:r>
              <w:rPr>
                <w:sz w:val="24"/>
                <w:lang w:val="en-US"/>
              </w:rPr>
              <w:t>20</w:t>
            </w:r>
          </w:p>
        </w:tc>
      </w:tr>
      <w:tr>
        <w:trPr>
          <w:trHeight w:val="70" w:hRule="atLeast"/>
        </w:trPr>
        <w:tc>
          <w:tcPr>
            <w:tcW w:w="829"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sz w:val="24"/>
                <w:lang w:val="en-US"/>
              </w:rPr>
            </w:pPr>
            <w:r>
              <w:rPr>
                <w:sz w:val="24"/>
                <w:lang w:val="en-US"/>
              </w:rPr>
              <w:t>8</w:t>
            </w:r>
          </w:p>
        </w:tc>
        <w:tc>
          <w:tcPr>
            <w:tcW w:w="6153" w:type="dxa"/>
            <w:tcBorders>
              <w:top w:val="single" w:sz="4" w:space="0" w:color="000000"/>
              <w:left w:val="single" w:sz="4" w:space="0" w:color="000000"/>
              <w:bottom w:val="single" w:sz="4" w:space="0" w:color="000000"/>
              <w:right w:val="single" w:sz="4" w:space="0" w:color="000000"/>
            </w:tcBorders>
          </w:tcPr>
          <w:p>
            <w:pPr>
              <w:pStyle w:val="Normal"/>
              <w:widowControl w:val="false"/>
              <w:jc w:val="both"/>
              <w:rPr>
                <w:sz w:val="24"/>
              </w:rPr>
            </w:pPr>
            <w:r>
              <w:rPr>
                <w:sz w:val="24"/>
              </w:rPr>
              <w:t>Ботинки с защитным подноском утепленные</w:t>
            </w:r>
          </w:p>
        </w:tc>
        <w:tc>
          <w:tcPr>
            <w:tcW w:w="1422"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sz w:val="24"/>
                <w:lang w:val="en-US"/>
              </w:rPr>
            </w:pPr>
            <w:r>
              <w:rPr>
                <w:sz w:val="24"/>
                <w:lang w:val="en-US"/>
              </w:rPr>
              <w:t>пара</w:t>
            </w:r>
          </w:p>
        </w:tc>
        <w:tc>
          <w:tcPr>
            <w:tcW w:w="154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sz w:val="24"/>
                <w:lang w:val="en-US"/>
              </w:rPr>
            </w:pPr>
            <w:r>
              <w:rPr>
                <w:sz w:val="24"/>
                <w:lang w:val="en-US"/>
              </w:rPr>
              <w:t>10</w:t>
            </w:r>
          </w:p>
        </w:tc>
      </w:tr>
    </w:tbl>
    <w:p>
      <w:pPr>
        <w:pStyle w:val="Heading3"/>
        <w:numPr>
          <w:ilvl w:val="2"/>
          <w:numId w:val="3"/>
        </w:numPr>
        <w:rPr/>
      </w:pPr>
      <w:bookmarkStart w:id="18" w:name="_Toc75446578"/>
      <w:bookmarkStart w:id="19" w:name="_Toc194314064"/>
      <w:bookmarkStart w:id="20" w:name="_Toc51339696"/>
      <w:r>
        <w:rPr>
          <w:lang w:val="ru-RU"/>
        </w:rPr>
        <w:t xml:space="preserve">Требования </w:t>
      </w:r>
      <w:bookmarkEnd w:id="20"/>
      <w:r>
        <w:rPr>
          <w:lang w:val="ru-RU"/>
        </w:rPr>
        <w:t>к срокам поставки продукции и оказания сопутствующих услуг</w:t>
      </w:r>
      <w:bookmarkEnd w:id="18"/>
      <w:bookmarkEnd w:id="19"/>
    </w:p>
    <w:p>
      <w:pPr>
        <w:pStyle w:val="Normal"/>
        <w:rPr/>
      </w:pPr>
      <w:r>
        <w:rPr/>
      </w:r>
    </w:p>
    <w:p>
      <w:pPr>
        <w:pStyle w:val="Heading1"/>
        <w:keepLines/>
        <w:tabs>
          <w:tab w:val="clear" w:pos="0"/>
        </w:tabs>
        <w:spacing w:before="240" w:after="60"/>
        <w:ind w:left="0" w:hanging="0"/>
        <w:rPr/>
      </w:pPr>
      <w:bookmarkStart w:id="21" w:name="_Toc194314065"/>
      <w:bookmarkStart w:id="22" w:name="_Toc51339697"/>
      <w:bookmarkStart w:id="23" w:name="_Toc50125127"/>
      <w:bookmarkStart w:id="24" w:name="_Toc50125126"/>
      <w:bookmarkEnd w:id="24"/>
      <w:r>
        <w:rPr>
          <w:sz w:val="24"/>
          <w:szCs w:val="24"/>
        </w:rPr>
        <w:t xml:space="preserve">Таблица </w:t>
      </w:r>
      <w:r>
        <w:rPr>
          <w:sz w:val="24"/>
          <w:szCs w:val="24"/>
          <w:lang w:val="ru-RU"/>
        </w:rPr>
        <w:t>2</w:t>
      </w:r>
      <w:r>
        <w:rPr>
          <w:sz w:val="24"/>
          <w:szCs w:val="24"/>
        </w:rPr>
        <w:t>.</w:t>
      </w:r>
      <w:r>
        <w:rPr>
          <w:sz w:val="24"/>
          <w:szCs w:val="24"/>
          <w:lang w:val="ru-RU"/>
        </w:rPr>
        <w:t>1</w:t>
      </w:r>
      <w:r>
        <w:rPr>
          <w:sz w:val="24"/>
          <w:szCs w:val="24"/>
        </w:rPr>
        <w:t xml:space="preserve"> </w:t>
      </w:r>
      <w:bookmarkStart w:id="25" w:name="_Hlk50465284"/>
      <w:r>
        <w:rPr>
          <w:sz w:val="24"/>
          <w:szCs w:val="24"/>
        </w:rPr>
        <w:t xml:space="preserve">Требования по срокам </w:t>
      </w:r>
      <w:bookmarkEnd w:id="22"/>
      <w:bookmarkEnd w:id="23"/>
      <w:bookmarkEnd w:id="25"/>
      <w:r>
        <w:rPr>
          <w:sz w:val="24"/>
          <w:szCs w:val="24"/>
          <w:lang w:val="ru-RU"/>
        </w:rPr>
        <w:t>поставки продукции</w:t>
      </w:r>
      <w:bookmarkEnd w:id="21"/>
      <w:r>
        <w:rPr>
          <w:sz w:val="24"/>
          <w:szCs w:val="24"/>
          <w:lang w:val="ru-RU"/>
        </w:rPr>
        <w:t xml:space="preserve"> </w:t>
      </w:r>
    </w:p>
    <w:tbl>
      <w:tblPr>
        <w:tblW w:w="9918" w:type="dxa"/>
        <w:jc w:val="left"/>
        <w:tblInd w:w="0" w:type="dxa"/>
        <w:tblLayout w:type="fixed"/>
        <w:tblCellMar>
          <w:top w:w="0" w:type="dxa"/>
          <w:left w:w="108" w:type="dxa"/>
          <w:bottom w:w="0" w:type="dxa"/>
          <w:right w:w="108" w:type="dxa"/>
        </w:tblCellMar>
        <w:tblLook w:val="04a0" w:noHBand="0" w:noVBand="1" w:firstColumn="1" w:lastRow="0" w:lastColumn="0" w:firstRow="1"/>
      </w:tblPr>
      <w:tblGrid>
        <w:gridCol w:w="838"/>
        <w:gridCol w:w="5814"/>
        <w:gridCol w:w="3266"/>
      </w:tblGrid>
      <w:tr>
        <w:trPr/>
        <w:tc>
          <w:tcPr>
            <w:tcW w:w="83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sz w:val="24"/>
                <w:szCs w:val="24"/>
              </w:rPr>
              <w:t xml:space="preserve">№ </w:t>
            </w:r>
            <w:r>
              <w:rPr>
                <w:sz w:val="24"/>
                <w:szCs w:val="24"/>
              </w:rPr>
              <w:t>п/п</w:t>
            </w:r>
          </w:p>
        </w:tc>
        <w:tc>
          <w:tcPr>
            <w:tcW w:w="581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sz w:val="24"/>
                <w:szCs w:val="24"/>
              </w:rPr>
              <w:t xml:space="preserve">Наименование продукции </w:t>
            </w:r>
          </w:p>
        </w:tc>
        <w:tc>
          <w:tcPr>
            <w:tcW w:w="326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sz w:val="24"/>
                <w:szCs w:val="24"/>
              </w:rPr>
              <w:t>Требования к сроку поставки продукции</w:t>
            </w:r>
          </w:p>
        </w:tc>
      </w:tr>
      <w:tr>
        <w:trPr/>
        <w:tc>
          <w:tcPr>
            <w:tcW w:w="838"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jc w:val="center"/>
              <w:rPr/>
            </w:pPr>
            <w:r>
              <w:rPr>
                <w:b/>
                <w:sz w:val="24"/>
                <w:szCs w:val="24"/>
              </w:rPr>
              <w:t>1</w:t>
            </w:r>
          </w:p>
        </w:tc>
        <w:tc>
          <w:tcPr>
            <w:tcW w:w="5814"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jc w:val="center"/>
              <w:rPr/>
            </w:pPr>
            <w:r>
              <w:rPr>
                <w:b/>
                <w:sz w:val="24"/>
                <w:szCs w:val="24"/>
              </w:rPr>
              <w:t>2</w:t>
            </w:r>
          </w:p>
        </w:tc>
        <w:tc>
          <w:tcPr>
            <w:tcW w:w="3266" w:type="dxa"/>
            <w:tcBorders>
              <w:top w:val="single" w:sz="4" w:space="0" w:color="000000"/>
              <w:left w:val="single" w:sz="4" w:space="0" w:color="000000"/>
              <w:bottom w:val="single" w:sz="4" w:space="0" w:color="000000"/>
              <w:right w:val="single" w:sz="4" w:space="0" w:color="000000"/>
            </w:tcBorders>
          </w:tcPr>
          <w:p>
            <w:pPr>
              <w:pStyle w:val="Style29"/>
              <w:keepNext w:val="false"/>
              <w:widowControl w:val="false"/>
              <w:spacing w:before="40" w:after="40"/>
              <w:jc w:val="center"/>
              <w:rPr/>
            </w:pPr>
            <w:r>
              <w:rPr>
                <w:b/>
                <w:sz w:val="24"/>
                <w:szCs w:val="24"/>
              </w:rPr>
              <w:t>3</w:t>
            </w:r>
          </w:p>
        </w:tc>
      </w:tr>
      <w:tr>
        <w:trPr>
          <w:trHeight w:val="152" w:hRule="atLeast"/>
        </w:trPr>
        <w:tc>
          <w:tcPr>
            <w:tcW w:w="838" w:type="dxa"/>
            <w:tcBorders>
              <w:top w:val="single" w:sz="4" w:space="0" w:color="000000"/>
              <w:left w:val="single" w:sz="4" w:space="0" w:color="000000"/>
              <w:bottom w:val="single" w:sz="4" w:space="0" w:color="000000"/>
              <w:right w:val="single" w:sz="4" w:space="0" w:color="000000"/>
            </w:tcBorders>
            <w:shd w:color="auto" w:fill="auto" w:val="clear"/>
          </w:tcPr>
          <w:p>
            <w:pPr>
              <w:pStyle w:val="ListParagraph"/>
              <w:widowControl w:val="false"/>
              <w:numPr>
                <w:ilvl w:val="0"/>
                <w:numId w:val="6"/>
              </w:numPr>
              <w:rPr/>
            </w:pPr>
            <w:r>
              <w:rPr/>
            </w:r>
          </w:p>
        </w:tc>
        <w:tc>
          <w:tcPr>
            <w:tcW w:w="5814" w:type="dxa"/>
            <w:tcBorders>
              <w:top w:val="single" w:sz="4" w:space="0" w:color="000000"/>
              <w:left w:val="single" w:sz="4" w:space="0" w:color="000000"/>
              <w:bottom w:val="single" w:sz="4" w:space="0" w:color="000000"/>
              <w:right w:val="single" w:sz="4" w:space="0" w:color="000000"/>
            </w:tcBorders>
          </w:tcPr>
          <w:p>
            <w:pPr>
              <w:pStyle w:val="Normal"/>
              <w:widowControl w:val="false"/>
              <w:jc w:val="both"/>
              <w:rPr/>
            </w:pPr>
            <w:r>
              <w:rPr>
                <w:sz w:val="24"/>
                <w:szCs w:val="24"/>
              </w:rPr>
              <w:t>Костюм летний для защиты от ОПЗ для ИТР (куртка/брюки) мужской.</w:t>
            </w:r>
          </w:p>
        </w:tc>
        <w:tc>
          <w:tcPr>
            <w:tcW w:w="3266" w:type="dxa"/>
            <w:vMerge w:val="restart"/>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sz w:val="24"/>
                <w:szCs w:val="24"/>
              </w:rPr>
              <w:t>Поставка одноэтапная.</w:t>
            </w:r>
          </w:p>
          <w:p>
            <w:pPr>
              <w:pStyle w:val="Normal"/>
              <w:widowControl w:val="false"/>
              <w:jc w:val="center"/>
              <w:rPr/>
            </w:pPr>
            <w:r>
              <w:rPr>
                <w:sz w:val="24"/>
                <w:szCs w:val="24"/>
              </w:rPr>
              <w:t xml:space="preserve">В течение 60 (шестьдесят) календарных дней с даты подписания Договора </w:t>
            </w:r>
          </w:p>
          <w:p>
            <w:pPr>
              <w:pStyle w:val="Normal"/>
              <w:widowControl w:val="false"/>
              <w:jc w:val="center"/>
              <w:rPr>
                <w:sz w:val="24"/>
                <w:szCs w:val="24"/>
              </w:rPr>
            </w:pPr>
            <w:r>
              <w:rPr>
                <w:sz w:val="24"/>
                <w:szCs w:val="24"/>
              </w:rPr>
            </w:r>
          </w:p>
        </w:tc>
      </w:tr>
      <w:tr>
        <w:trPr>
          <w:trHeight w:val="152" w:hRule="atLeast"/>
        </w:trPr>
        <w:tc>
          <w:tcPr>
            <w:tcW w:w="838" w:type="dxa"/>
            <w:tcBorders>
              <w:top w:val="single" w:sz="4" w:space="0" w:color="000000"/>
              <w:left w:val="single" w:sz="4" w:space="0" w:color="000000"/>
              <w:bottom w:val="single" w:sz="4" w:space="0" w:color="000000"/>
              <w:right w:val="single" w:sz="4" w:space="0" w:color="000000"/>
            </w:tcBorders>
            <w:shd w:color="auto" w:fill="auto" w:val="clear"/>
          </w:tcPr>
          <w:p>
            <w:pPr>
              <w:pStyle w:val="ListParagraph"/>
              <w:widowControl w:val="false"/>
              <w:numPr>
                <w:ilvl w:val="0"/>
                <w:numId w:val="6"/>
              </w:numPr>
              <w:rPr/>
            </w:pPr>
            <w:r>
              <w:rPr/>
            </w:r>
          </w:p>
        </w:tc>
        <w:tc>
          <w:tcPr>
            <w:tcW w:w="5814" w:type="dxa"/>
            <w:tcBorders>
              <w:top w:val="single" w:sz="4" w:space="0" w:color="000000"/>
              <w:left w:val="single" w:sz="4" w:space="0" w:color="000000"/>
              <w:bottom w:val="single" w:sz="4" w:space="0" w:color="000000"/>
              <w:right w:val="single" w:sz="4" w:space="0" w:color="000000"/>
            </w:tcBorders>
          </w:tcPr>
          <w:p>
            <w:pPr>
              <w:pStyle w:val="Normal"/>
              <w:widowControl w:val="false"/>
              <w:jc w:val="both"/>
              <w:rPr/>
            </w:pPr>
            <w:r>
              <w:rPr>
                <w:sz w:val="24"/>
                <w:szCs w:val="24"/>
              </w:rPr>
              <w:t xml:space="preserve">Костюм летний для защиты от ОПЗ для ИТР (куртка/брюки) женский. </w:t>
            </w:r>
          </w:p>
        </w:tc>
        <w:tc>
          <w:tcPr>
            <w:tcW w:w="3266" w:type="dxa"/>
            <w:vMerge w:val="continue"/>
            <w:tcBorders>
              <w:left w:val="single" w:sz="4" w:space="0" w:color="000000"/>
              <w:right w:val="single" w:sz="4" w:space="0" w:color="000000"/>
            </w:tcBorders>
          </w:tcPr>
          <w:p>
            <w:pPr>
              <w:pStyle w:val="Normal"/>
              <w:widowControl w:val="false"/>
              <w:jc w:val="center"/>
              <w:rPr>
                <w:sz w:val="24"/>
                <w:szCs w:val="24"/>
              </w:rPr>
            </w:pPr>
            <w:r>
              <w:rPr>
                <w:sz w:val="24"/>
                <w:szCs w:val="24"/>
              </w:rPr>
            </w:r>
          </w:p>
        </w:tc>
      </w:tr>
      <w:tr>
        <w:trPr>
          <w:trHeight w:val="152" w:hRule="atLeast"/>
        </w:trPr>
        <w:tc>
          <w:tcPr>
            <w:tcW w:w="838" w:type="dxa"/>
            <w:tcBorders>
              <w:top w:val="single" w:sz="4" w:space="0" w:color="000000"/>
              <w:left w:val="single" w:sz="4" w:space="0" w:color="000000"/>
              <w:bottom w:val="single" w:sz="4" w:space="0" w:color="000000"/>
              <w:right w:val="single" w:sz="4" w:space="0" w:color="000000"/>
            </w:tcBorders>
            <w:shd w:color="auto" w:fill="auto" w:val="clear"/>
          </w:tcPr>
          <w:p>
            <w:pPr>
              <w:pStyle w:val="ListParagraph"/>
              <w:widowControl w:val="false"/>
              <w:numPr>
                <w:ilvl w:val="0"/>
                <w:numId w:val="6"/>
              </w:numPr>
              <w:rPr/>
            </w:pPr>
            <w:r>
              <w:rPr/>
            </w:r>
          </w:p>
        </w:tc>
        <w:tc>
          <w:tcPr>
            <w:tcW w:w="5814" w:type="dxa"/>
            <w:tcBorders>
              <w:top w:val="single" w:sz="4" w:space="0" w:color="000000"/>
              <w:left w:val="single" w:sz="4" w:space="0" w:color="000000"/>
              <w:bottom w:val="single" w:sz="4" w:space="0" w:color="000000"/>
              <w:right w:val="single" w:sz="4" w:space="0" w:color="000000"/>
            </w:tcBorders>
          </w:tcPr>
          <w:p>
            <w:pPr>
              <w:pStyle w:val="Normal"/>
              <w:widowControl w:val="false"/>
              <w:jc w:val="both"/>
              <w:rPr/>
            </w:pPr>
            <w:r>
              <w:rPr>
                <w:sz w:val="24"/>
                <w:szCs w:val="24"/>
              </w:rPr>
              <w:t>Костюм утепленный для защиты от ОПЗ для ИТР (куртка с капюшоном/брюки) мужской</w:t>
            </w:r>
          </w:p>
        </w:tc>
        <w:tc>
          <w:tcPr>
            <w:tcW w:w="3266" w:type="dxa"/>
            <w:vMerge w:val="continue"/>
            <w:tcBorders>
              <w:left w:val="single" w:sz="4" w:space="0" w:color="000000"/>
              <w:right w:val="single" w:sz="4" w:space="0" w:color="000000"/>
            </w:tcBorders>
          </w:tcPr>
          <w:p>
            <w:pPr>
              <w:pStyle w:val="Normal"/>
              <w:widowControl w:val="false"/>
              <w:jc w:val="center"/>
              <w:rPr>
                <w:sz w:val="24"/>
                <w:szCs w:val="24"/>
              </w:rPr>
            </w:pPr>
            <w:r>
              <w:rPr>
                <w:sz w:val="24"/>
                <w:szCs w:val="24"/>
              </w:rPr>
            </w:r>
          </w:p>
        </w:tc>
      </w:tr>
      <w:tr>
        <w:trPr>
          <w:trHeight w:val="152" w:hRule="atLeast"/>
        </w:trPr>
        <w:tc>
          <w:tcPr>
            <w:tcW w:w="838" w:type="dxa"/>
            <w:tcBorders>
              <w:top w:val="single" w:sz="4" w:space="0" w:color="000000"/>
              <w:left w:val="single" w:sz="4" w:space="0" w:color="000000"/>
              <w:bottom w:val="single" w:sz="4" w:space="0" w:color="000000"/>
              <w:right w:val="single" w:sz="4" w:space="0" w:color="000000"/>
            </w:tcBorders>
            <w:shd w:color="auto" w:fill="auto" w:val="clear"/>
          </w:tcPr>
          <w:p>
            <w:pPr>
              <w:pStyle w:val="ListParagraph"/>
              <w:widowControl w:val="false"/>
              <w:numPr>
                <w:ilvl w:val="0"/>
                <w:numId w:val="6"/>
              </w:numPr>
              <w:rPr/>
            </w:pPr>
            <w:r>
              <w:rPr/>
            </w:r>
          </w:p>
        </w:tc>
        <w:tc>
          <w:tcPr>
            <w:tcW w:w="5814" w:type="dxa"/>
            <w:tcBorders>
              <w:top w:val="single" w:sz="4" w:space="0" w:color="000000"/>
              <w:left w:val="single" w:sz="4" w:space="0" w:color="000000"/>
              <w:bottom w:val="single" w:sz="4" w:space="0" w:color="000000"/>
              <w:right w:val="single" w:sz="4" w:space="0" w:color="000000"/>
            </w:tcBorders>
          </w:tcPr>
          <w:p>
            <w:pPr>
              <w:pStyle w:val="Normal"/>
              <w:widowControl w:val="false"/>
              <w:jc w:val="both"/>
              <w:rPr/>
            </w:pPr>
            <w:r>
              <w:rPr>
                <w:sz w:val="24"/>
                <w:szCs w:val="24"/>
              </w:rPr>
              <w:t>Костюм утепленный для защиты от ОПЗ для ИТР (куртка с капюшоном/брюки) женский</w:t>
            </w:r>
          </w:p>
        </w:tc>
        <w:tc>
          <w:tcPr>
            <w:tcW w:w="3266" w:type="dxa"/>
            <w:vMerge w:val="continue"/>
            <w:tcBorders>
              <w:left w:val="single" w:sz="4" w:space="0" w:color="000000"/>
              <w:right w:val="single" w:sz="4" w:space="0" w:color="000000"/>
            </w:tcBorders>
          </w:tcPr>
          <w:p>
            <w:pPr>
              <w:pStyle w:val="Normal"/>
              <w:widowControl w:val="false"/>
              <w:jc w:val="center"/>
              <w:rPr>
                <w:sz w:val="24"/>
                <w:szCs w:val="24"/>
              </w:rPr>
            </w:pPr>
            <w:r>
              <w:rPr>
                <w:sz w:val="24"/>
                <w:szCs w:val="24"/>
              </w:rPr>
            </w:r>
          </w:p>
        </w:tc>
      </w:tr>
      <w:tr>
        <w:trPr>
          <w:trHeight w:val="152" w:hRule="atLeast"/>
        </w:trPr>
        <w:tc>
          <w:tcPr>
            <w:tcW w:w="838" w:type="dxa"/>
            <w:tcBorders>
              <w:top w:val="single" w:sz="4" w:space="0" w:color="000000"/>
              <w:left w:val="single" w:sz="4" w:space="0" w:color="000000"/>
              <w:bottom w:val="single" w:sz="4" w:space="0" w:color="000000"/>
              <w:right w:val="single" w:sz="4" w:space="0" w:color="000000"/>
            </w:tcBorders>
            <w:shd w:color="auto" w:fill="auto" w:val="clear"/>
          </w:tcPr>
          <w:p>
            <w:pPr>
              <w:pStyle w:val="ListParagraph"/>
              <w:widowControl w:val="false"/>
              <w:numPr>
                <w:ilvl w:val="0"/>
                <w:numId w:val="6"/>
              </w:numPr>
              <w:rPr/>
            </w:pPr>
            <w:r>
              <w:rPr/>
            </w:r>
          </w:p>
        </w:tc>
        <w:tc>
          <w:tcPr>
            <w:tcW w:w="5814" w:type="dxa"/>
            <w:tcBorders>
              <w:left w:val="single" w:sz="4" w:space="0" w:color="000000"/>
              <w:bottom w:val="single" w:sz="4" w:space="0" w:color="000000"/>
              <w:right w:val="single" w:sz="4" w:space="0" w:color="000000"/>
            </w:tcBorders>
          </w:tcPr>
          <w:p>
            <w:pPr>
              <w:pStyle w:val="Normal"/>
              <w:widowControl w:val="false"/>
              <w:jc w:val="both"/>
              <w:rPr>
                <w:sz w:val="24"/>
              </w:rPr>
            </w:pPr>
            <w:r>
              <w:rPr>
                <w:sz w:val="24"/>
              </w:rPr>
              <w:t>Каска защитная (белая)</w:t>
            </w:r>
          </w:p>
        </w:tc>
        <w:tc>
          <w:tcPr>
            <w:tcW w:w="3266" w:type="dxa"/>
            <w:vMerge w:val="continue"/>
            <w:tcBorders>
              <w:left w:val="single" w:sz="4" w:space="0" w:color="000000"/>
              <w:right w:val="single" w:sz="4" w:space="0" w:color="000000"/>
            </w:tcBorders>
          </w:tcPr>
          <w:p>
            <w:pPr>
              <w:pStyle w:val="Normal"/>
              <w:widowControl w:val="false"/>
              <w:jc w:val="center"/>
              <w:rPr>
                <w:sz w:val="24"/>
                <w:szCs w:val="24"/>
              </w:rPr>
            </w:pPr>
            <w:r>
              <w:rPr>
                <w:sz w:val="24"/>
                <w:szCs w:val="24"/>
              </w:rPr>
            </w:r>
          </w:p>
        </w:tc>
      </w:tr>
      <w:tr>
        <w:trPr>
          <w:trHeight w:val="152" w:hRule="atLeast"/>
        </w:trPr>
        <w:tc>
          <w:tcPr>
            <w:tcW w:w="838" w:type="dxa"/>
            <w:tcBorders>
              <w:top w:val="single" w:sz="4" w:space="0" w:color="000000"/>
              <w:left w:val="single" w:sz="4" w:space="0" w:color="000000"/>
              <w:bottom w:val="single" w:sz="4" w:space="0" w:color="000000"/>
              <w:right w:val="single" w:sz="4" w:space="0" w:color="000000"/>
            </w:tcBorders>
            <w:shd w:color="auto" w:fill="auto" w:val="clear"/>
          </w:tcPr>
          <w:p>
            <w:pPr>
              <w:pStyle w:val="ListParagraph"/>
              <w:widowControl w:val="false"/>
              <w:numPr>
                <w:ilvl w:val="0"/>
                <w:numId w:val="6"/>
              </w:numPr>
              <w:rPr/>
            </w:pPr>
            <w:r>
              <w:rPr/>
            </w:r>
          </w:p>
        </w:tc>
        <w:tc>
          <w:tcPr>
            <w:tcW w:w="5814" w:type="dxa"/>
            <w:tcBorders>
              <w:left w:val="single" w:sz="4" w:space="0" w:color="000000"/>
              <w:bottom w:val="single" w:sz="4" w:space="0" w:color="000000"/>
              <w:right w:val="single" w:sz="4" w:space="0" w:color="000000"/>
            </w:tcBorders>
          </w:tcPr>
          <w:p>
            <w:pPr>
              <w:pStyle w:val="Normal"/>
              <w:widowControl w:val="false"/>
              <w:jc w:val="both"/>
              <w:rPr>
                <w:sz w:val="24"/>
              </w:rPr>
            </w:pPr>
            <w:r>
              <w:rPr>
                <w:sz w:val="24"/>
              </w:rPr>
              <w:t>Каска защитная (оранжевая)</w:t>
            </w:r>
          </w:p>
        </w:tc>
        <w:tc>
          <w:tcPr>
            <w:tcW w:w="3266" w:type="dxa"/>
            <w:vMerge w:val="continue"/>
            <w:tcBorders>
              <w:left w:val="single" w:sz="4" w:space="0" w:color="000000"/>
              <w:right w:val="single" w:sz="4" w:space="0" w:color="000000"/>
            </w:tcBorders>
          </w:tcPr>
          <w:p>
            <w:pPr>
              <w:pStyle w:val="Normal"/>
              <w:widowControl w:val="false"/>
              <w:jc w:val="center"/>
              <w:rPr>
                <w:sz w:val="24"/>
                <w:szCs w:val="24"/>
              </w:rPr>
            </w:pPr>
            <w:r>
              <w:rPr>
                <w:sz w:val="24"/>
                <w:szCs w:val="24"/>
              </w:rPr>
            </w:r>
          </w:p>
        </w:tc>
      </w:tr>
      <w:tr>
        <w:trPr>
          <w:trHeight w:val="152" w:hRule="atLeast"/>
        </w:trPr>
        <w:tc>
          <w:tcPr>
            <w:tcW w:w="838" w:type="dxa"/>
            <w:tcBorders>
              <w:top w:val="single" w:sz="4" w:space="0" w:color="000000"/>
              <w:left w:val="single" w:sz="4" w:space="0" w:color="000000"/>
              <w:bottom w:val="single" w:sz="4" w:space="0" w:color="000000"/>
              <w:right w:val="single" w:sz="4" w:space="0" w:color="000000"/>
            </w:tcBorders>
            <w:shd w:color="auto" w:fill="auto" w:val="clear"/>
          </w:tcPr>
          <w:p>
            <w:pPr>
              <w:pStyle w:val="ListParagraph"/>
              <w:widowControl w:val="false"/>
              <w:numPr>
                <w:ilvl w:val="0"/>
                <w:numId w:val="6"/>
              </w:numPr>
              <w:rPr/>
            </w:pPr>
            <w:r>
              <w:rPr/>
            </w:r>
          </w:p>
        </w:tc>
        <w:tc>
          <w:tcPr>
            <w:tcW w:w="5814" w:type="dxa"/>
            <w:tcBorders>
              <w:left w:val="single" w:sz="4" w:space="0" w:color="000000"/>
              <w:bottom w:val="single" w:sz="4" w:space="0" w:color="000000"/>
              <w:right w:val="single" w:sz="4" w:space="0" w:color="000000"/>
            </w:tcBorders>
          </w:tcPr>
          <w:p>
            <w:pPr>
              <w:pStyle w:val="Normal"/>
              <w:widowControl w:val="false"/>
              <w:jc w:val="both"/>
              <w:rPr>
                <w:sz w:val="24"/>
              </w:rPr>
            </w:pPr>
            <w:r>
              <w:rPr>
                <w:sz w:val="24"/>
              </w:rPr>
              <w:t>Сапоги с защитным подноском утепленные</w:t>
            </w:r>
          </w:p>
        </w:tc>
        <w:tc>
          <w:tcPr>
            <w:tcW w:w="3266" w:type="dxa"/>
            <w:vMerge w:val="continue"/>
            <w:tcBorders>
              <w:left w:val="single" w:sz="4" w:space="0" w:color="000000"/>
              <w:right w:val="single" w:sz="4" w:space="0" w:color="000000"/>
            </w:tcBorders>
          </w:tcPr>
          <w:p>
            <w:pPr>
              <w:pStyle w:val="Normal"/>
              <w:widowControl w:val="false"/>
              <w:jc w:val="center"/>
              <w:rPr>
                <w:sz w:val="24"/>
                <w:szCs w:val="24"/>
              </w:rPr>
            </w:pPr>
            <w:r>
              <w:rPr>
                <w:sz w:val="24"/>
                <w:szCs w:val="24"/>
              </w:rPr>
            </w:r>
          </w:p>
        </w:tc>
      </w:tr>
      <w:tr>
        <w:trPr>
          <w:trHeight w:val="132" w:hRule="atLeast"/>
        </w:trPr>
        <w:tc>
          <w:tcPr>
            <w:tcW w:w="838" w:type="dxa"/>
            <w:tcBorders>
              <w:top w:val="single" w:sz="4" w:space="0" w:color="000000"/>
              <w:left w:val="single" w:sz="4" w:space="0" w:color="000000"/>
              <w:bottom w:val="single" w:sz="4" w:space="0" w:color="000000"/>
              <w:right w:val="single" w:sz="4" w:space="0" w:color="000000"/>
            </w:tcBorders>
            <w:shd w:color="auto" w:fill="auto" w:val="clear"/>
          </w:tcPr>
          <w:p>
            <w:pPr>
              <w:pStyle w:val="ListParagraph"/>
              <w:widowControl w:val="false"/>
              <w:numPr>
                <w:ilvl w:val="0"/>
                <w:numId w:val="6"/>
              </w:numPr>
              <w:rPr/>
            </w:pPr>
            <w:r>
              <w:rPr/>
            </w:r>
          </w:p>
        </w:tc>
        <w:tc>
          <w:tcPr>
            <w:tcW w:w="5814" w:type="dxa"/>
            <w:tcBorders>
              <w:left w:val="single" w:sz="4" w:space="0" w:color="000000"/>
              <w:bottom w:val="single" w:sz="4" w:space="0" w:color="000000"/>
              <w:right w:val="single" w:sz="4" w:space="0" w:color="000000"/>
            </w:tcBorders>
          </w:tcPr>
          <w:p>
            <w:pPr>
              <w:pStyle w:val="Normal"/>
              <w:widowControl w:val="false"/>
              <w:jc w:val="both"/>
              <w:rPr>
                <w:sz w:val="24"/>
              </w:rPr>
            </w:pPr>
            <w:r>
              <w:rPr>
                <w:sz w:val="24"/>
              </w:rPr>
              <w:t>Ботинки с защитным подноском утепленные</w:t>
            </w:r>
          </w:p>
        </w:tc>
        <w:tc>
          <w:tcPr>
            <w:tcW w:w="3266" w:type="dxa"/>
            <w:vMerge w:val="continue"/>
            <w:tcBorders>
              <w:left w:val="single" w:sz="4" w:space="0" w:color="000000"/>
              <w:bottom w:val="single" w:sz="4" w:space="0" w:color="000000"/>
              <w:right w:val="single" w:sz="4" w:space="0" w:color="000000"/>
            </w:tcBorders>
          </w:tcPr>
          <w:p>
            <w:pPr>
              <w:pStyle w:val="Normal"/>
              <w:widowControl w:val="false"/>
              <w:jc w:val="center"/>
              <w:rPr>
                <w:sz w:val="24"/>
                <w:szCs w:val="24"/>
              </w:rPr>
            </w:pPr>
            <w:r>
              <w:rPr>
                <w:sz w:val="24"/>
                <w:szCs w:val="24"/>
              </w:rPr>
            </w:r>
          </w:p>
        </w:tc>
      </w:tr>
    </w:tbl>
    <w:p>
      <w:pPr>
        <w:sectPr>
          <w:headerReference w:type="even" r:id="rId2"/>
          <w:headerReference w:type="default" r:id="rId3"/>
          <w:headerReference w:type="first" r:id="rId4"/>
          <w:type w:val="nextPage"/>
          <w:pgSz w:w="11906" w:h="16838"/>
          <w:pgMar w:left="1134" w:right="851" w:gutter="0" w:header="680" w:top="1134" w:footer="0" w:bottom="992"/>
          <w:pgNumType w:fmt="decimal"/>
          <w:formProt w:val="false"/>
          <w:titlePg/>
          <w:textDirection w:val="lrTb"/>
          <w:docGrid w:type="default" w:linePitch="360" w:charSpace="0"/>
        </w:sectPr>
      </w:pPr>
    </w:p>
    <w:p>
      <w:pPr>
        <w:pStyle w:val="Heading4"/>
        <w:numPr>
          <w:ilvl w:val="1"/>
          <w:numId w:val="3"/>
        </w:numPr>
        <w:ind w:left="432" w:hanging="432"/>
        <w:rPr/>
      </w:pPr>
      <w:bookmarkStart w:id="26" w:name="_Toc51339698"/>
      <w:bookmarkStart w:id="27" w:name="_Toc194314066"/>
      <w:bookmarkStart w:id="28" w:name="_Toc46743511"/>
      <w:bookmarkStart w:id="29" w:name="_Toc54785622"/>
      <w:bookmarkEnd w:id="29"/>
      <w:r>
        <w:rPr/>
        <w:t xml:space="preserve">Требования к </w:t>
      </w:r>
      <w:bookmarkEnd w:id="28"/>
      <w:r>
        <w:rPr>
          <w:lang w:val="ru-RU"/>
        </w:rPr>
        <w:t>качеству продукции</w:t>
      </w:r>
      <w:bookmarkEnd w:id="27"/>
    </w:p>
    <w:p>
      <w:pPr>
        <w:pStyle w:val="Heading1"/>
        <w:keepLines/>
        <w:tabs>
          <w:tab w:val="clear" w:pos="0"/>
        </w:tabs>
        <w:spacing w:before="240" w:after="60"/>
        <w:ind w:left="0" w:hanging="0"/>
        <w:rPr/>
      </w:pPr>
      <w:r>
        <w:rPr>
          <w:sz w:val="24"/>
          <w:szCs w:val="24"/>
        </w:rPr>
        <w:t xml:space="preserve"> </w:t>
      </w:r>
      <w:bookmarkStart w:id="30" w:name="_Toc194314067"/>
      <w:r>
        <w:rPr>
          <w:sz w:val="24"/>
          <w:szCs w:val="24"/>
        </w:rPr>
        <w:t>Таблица </w:t>
      </w:r>
      <w:r>
        <w:rPr>
          <w:sz w:val="24"/>
          <w:szCs w:val="24"/>
          <w:lang w:val="ru-RU"/>
        </w:rPr>
        <w:t>3</w:t>
      </w:r>
      <w:r>
        <w:rPr>
          <w:sz w:val="24"/>
          <w:szCs w:val="24"/>
        </w:rPr>
        <w:t xml:space="preserve">. Требования к </w:t>
      </w:r>
      <w:r>
        <w:rPr>
          <w:sz w:val="24"/>
          <w:szCs w:val="24"/>
          <w:lang w:val="ru-RU"/>
        </w:rPr>
        <w:t>продукции</w:t>
      </w:r>
      <w:bookmarkEnd w:id="30"/>
      <w:r>
        <w:rPr>
          <w:sz w:val="24"/>
          <w:szCs w:val="24"/>
        </w:rPr>
        <w:t xml:space="preserve"> </w:t>
      </w:r>
      <w:bookmarkEnd w:id="26"/>
      <w:r>
        <w:rPr>
          <w:rStyle w:val="Style8"/>
          <w:b/>
        </w:rPr>
        <w:t xml:space="preserve"> </w:t>
      </w:r>
    </w:p>
    <w:p>
      <w:pPr>
        <w:pStyle w:val="Normal"/>
        <w:spacing w:before="120" w:after="120"/>
        <w:rPr>
          <w:b/>
          <w:bCs/>
          <w:i/>
          <w:i/>
          <w:iCs/>
          <w:sz w:val="24"/>
          <w:szCs w:val="24"/>
          <w:lang w:eastAsia="zh-CN"/>
        </w:rPr>
      </w:pPr>
      <w:r>
        <w:rPr>
          <w:b/>
          <w:bCs/>
          <w:iCs/>
          <w:sz w:val="24"/>
          <w:szCs w:val="24"/>
          <w:lang w:eastAsia="zh-CN"/>
        </w:rPr>
        <w:t xml:space="preserve">Наименование продукции: </w:t>
      </w:r>
      <w:r>
        <w:rPr>
          <w:b/>
          <w:bCs/>
          <w:i/>
          <w:iCs/>
          <w:sz w:val="24"/>
          <w:szCs w:val="24"/>
          <w:lang w:eastAsia="zh-CN"/>
        </w:rPr>
        <w:t>позиции № 1-8 Таблицы 1.1. «Перечень и объем закупаемой продукции»:</w:t>
      </w:r>
    </w:p>
    <w:tbl>
      <w:tblPr>
        <w:tblStyle w:val="affff9"/>
        <w:tblW w:w="15525" w:type="dxa"/>
        <w:jc w:val="left"/>
        <w:tblInd w:w="-5" w:type="dxa"/>
        <w:tblLayout w:type="fixed"/>
        <w:tblCellMar>
          <w:top w:w="0" w:type="dxa"/>
          <w:left w:w="108" w:type="dxa"/>
          <w:bottom w:w="0" w:type="dxa"/>
          <w:right w:w="108" w:type="dxa"/>
        </w:tblCellMar>
        <w:tblLook w:val="04a0" w:noHBand="0" w:noVBand="1" w:firstColumn="1" w:lastRow="0" w:lastColumn="0" w:firstRow="1"/>
      </w:tblPr>
      <w:tblGrid>
        <w:gridCol w:w="889"/>
        <w:gridCol w:w="1980"/>
        <w:gridCol w:w="8313"/>
        <w:gridCol w:w="2012"/>
        <w:gridCol w:w="2331"/>
      </w:tblGrid>
      <w:tr>
        <w:trPr>
          <w:tblHeader w:val="true"/>
        </w:trPr>
        <w:tc>
          <w:tcPr>
            <w:tcW w:w="889" w:type="dxa"/>
            <w:vMerge w:val="restart"/>
            <w:tcBorders/>
            <w:vAlign w:val="center"/>
          </w:tcPr>
          <w:p>
            <w:pPr>
              <w:pStyle w:val="Normal"/>
              <w:widowControl w:val="false"/>
              <w:suppressAutoHyphens w:val="true"/>
              <w:spacing w:before="0" w:after="0"/>
              <w:jc w:val="center"/>
              <w:rPr>
                <w:b/>
                <w:bCs/>
                <w:sz w:val="24"/>
                <w:szCs w:val="24"/>
              </w:rPr>
            </w:pPr>
            <w:r>
              <w:rPr>
                <w:rFonts w:eastAsia="Times New Roman" w:cs="Times New Roman"/>
                <w:b/>
                <w:bCs/>
                <w:kern w:val="0"/>
                <w:sz w:val="24"/>
                <w:szCs w:val="24"/>
                <w:lang w:val="ru-RU" w:eastAsia="ru-RU" w:bidi="ar-SA"/>
              </w:rPr>
              <w:t xml:space="preserve">№ </w:t>
            </w:r>
            <w:r>
              <w:rPr>
                <w:rFonts w:eastAsia="Times New Roman" w:cs="Times New Roman"/>
                <w:b/>
                <w:bCs/>
                <w:kern w:val="0"/>
                <w:sz w:val="24"/>
                <w:szCs w:val="24"/>
                <w:lang w:val="ru-RU" w:eastAsia="ru-RU" w:bidi="ar-SA"/>
              </w:rPr>
              <w:t>п/п</w:t>
            </w:r>
          </w:p>
        </w:tc>
        <w:tc>
          <w:tcPr>
            <w:tcW w:w="1980" w:type="dxa"/>
            <w:vMerge w:val="restart"/>
            <w:tcBorders/>
            <w:vAlign w:val="center"/>
          </w:tcPr>
          <w:p>
            <w:pPr>
              <w:pStyle w:val="Normal"/>
              <w:widowControl w:val="false"/>
              <w:suppressAutoHyphens w:val="true"/>
              <w:spacing w:before="0" w:after="0"/>
              <w:jc w:val="center"/>
              <w:rPr>
                <w:b/>
                <w:bCs/>
                <w:sz w:val="24"/>
                <w:szCs w:val="24"/>
              </w:rPr>
            </w:pPr>
            <w:r>
              <w:rPr>
                <w:rFonts w:eastAsia="Times New Roman" w:cs="Times New Roman"/>
                <w:b/>
                <w:bCs/>
                <w:kern w:val="0"/>
                <w:sz w:val="24"/>
                <w:szCs w:val="24"/>
                <w:lang w:val="ru-RU" w:eastAsia="ru-RU" w:bidi="ar-SA"/>
              </w:rPr>
              <w:t>Наименование параметра</w:t>
            </w:r>
          </w:p>
        </w:tc>
        <w:tc>
          <w:tcPr>
            <w:tcW w:w="8313" w:type="dxa"/>
            <w:vMerge w:val="restart"/>
            <w:tcBorders/>
            <w:vAlign w:val="center"/>
          </w:tcPr>
          <w:p>
            <w:pPr>
              <w:pStyle w:val="Normal"/>
              <w:widowControl w:val="false"/>
              <w:suppressAutoHyphens w:val="true"/>
              <w:spacing w:before="0" w:after="0"/>
              <w:jc w:val="center"/>
              <w:rPr>
                <w:b/>
                <w:bCs/>
                <w:sz w:val="24"/>
                <w:szCs w:val="24"/>
              </w:rPr>
            </w:pPr>
            <w:r>
              <w:rPr>
                <w:rFonts w:eastAsia="Times New Roman" w:cs="Times New Roman"/>
                <w:b/>
                <w:bCs/>
                <w:kern w:val="0"/>
                <w:sz w:val="24"/>
                <w:szCs w:val="24"/>
                <w:lang w:val="ru-RU" w:eastAsia="ru-RU" w:bidi="ar-SA"/>
              </w:rPr>
              <w:t>Требование Заказчика</w:t>
            </w:r>
          </w:p>
        </w:tc>
        <w:tc>
          <w:tcPr>
            <w:tcW w:w="4343" w:type="dxa"/>
            <w:gridSpan w:val="2"/>
            <w:tcBorders/>
            <w:vAlign w:val="center"/>
          </w:tcPr>
          <w:p>
            <w:pPr>
              <w:pStyle w:val="Normal"/>
              <w:widowControl w:val="false"/>
              <w:suppressAutoHyphens w:val="true"/>
              <w:spacing w:before="0" w:after="0"/>
              <w:jc w:val="center"/>
              <w:rPr>
                <w:b/>
                <w:bCs/>
                <w:sz w:val="24"/>
                <w:szCs w:val="24"/>
              </w:rPr>
            </w:pPr>
            <w:r>
              <w:rPr>
                <w:rFonts w:eastAsia="Times New Roman" w:cs="Times New Roman"/>
                <w:b/>
                <w:bCs/>
                <w:kern w:val="0"/>
                <w:sz w:val="24"/>
                <w:szCs w:val="24"/>
                <w:lang w:val="ru-RU" w:eastAsia="ru-RU" w:bidi="ar-SA"/>
              </w:rPr>
              <w:t>Способ подтверждения Участником соответствия требованиям</w:t>
            </w:r>
          </w:p>
        </w:tc>
      </w:tr>
      <w:tr>
        <w:trPr>
          <w:tblHeader w:val="true"/>
        </w:trPr>
        <w:tc>
          <w:tcPr>
            <w:tcW w:w="889" w:type="dxa"/>
            <w:vMerge w:val="continue"/>
            <w:tcBorders/>
            <w:vAlign w:val="center"/>
          </w:tcPr>
          <w:p>
            <w:pPr>
              <w:pStyle w:val="Normal"/>
              <w:widowControl w:val="false"/>
              <w:suppressAutoHyphens w:val="true"/>
              <w:spacing w:before="0" w:after="0"/>
              <w:jc w:val="left"/>
              <w:rPr>
                <w:b/>
                <w:bCs/>
                <w:sz w:val="24"/>
                <w:szCs w:val="24"/>
              </w:rPr>
            </w:pPr>
            <w:r>
              <w:rPr>
                <w:b/>
                <w:bCs/>
                <w:sz w:val="24"/>
                <w:szCs w:val="24"/>
              </w:rPr>
            </w:r>
          </w:p>
        </w:tc>
        <w:tc>
          <w:tcPr>
            <w:tcW w:w="1980" w:type="dxa"/>
            <w:vMerge w:val="continue"/>
            <w:tcBorders/>
            <w:vAlign w:val="center"/>
          </w:tcPr>
          <w:p>
            <w:pPr>
              <w:pStyle w:val="Normal"/>
              <w:widowControl w:val="false"/>
              <w:suppressAutoHyphens w:val="true"/>
              <w:spacing w:before="0" w:after="0"/>
              <w:jc w:val="left"/>
              <w:rPr>
                <w:b/>
                <w:bCs/>
                <w:sz w:val="24"/>
                <w:szCs w:val="24"/>
              </w:rPr>
            </w:pPr>
            <w:r>
              <w:rPr>
                <w:b/>
                <w:bCs/>
                <w:sz w:val="24"/>
                <w:szCs w:val="24"/>
              </w:rPr>
            </w:r>
          </w:p>
        </w:tc>
        <w:tc>
          <w:tcPr>
            <w:tcW w:w="8313" w:type="dxa"/>
            <w:vMerge w:val="continue"/>
            <w:tcBorders/>
            <w:vAlign w:val="center"/>
          </w:tcPr>
          <w:p>
            <w:pPr>
              <w:pStyle w:val="Normal"/>
              <w:widowControl w:val="false"/>
              <w:suppressAutoHyphens w:val="true"/>
              <w:spacing w:before="0" w:after="0"/>
              <w:jc w:val="left"/>
              <w:rPr>
                <w:b/>
                <w:bCs/>
                <w:sz w:val="24"/>
                <w:szCs w:val="24"/>
              </w:rPr>
            </w:pPr>
            <w:r>
              <w:rPr>
                <w:b/>
                <w:bCs/>
                <w:sz w:val="24"/>
                <w:szCs w:val="24"/>
              </w:rPr>
            </w:r>
          </w:p>
        </w:tc>
        <w:tc>
          <w:tcPr>
            <w:tcW w:w="2012" w:type="dxa"/>
            <w:tcBorders/>
            <w:vAlign w:val="center"/>
          </w:tcPr>
          <w:p>
            <w:pPr>
              <w:pStyle w:val="Normal"/>
              <w:widowControl w:val="false"/>
              <w:suppressAutoHyphens w:val="true"/>
              <w:spacing w:before="0" w:after="0"/>
              <w:jc w:val="center"/>
              <w:rPr>
                <w:b/>
                <w:bCs/>
                <w:sz w:val="24"/>
                <w:szCs w:val="24"/>
              </w:rPr>
            </w:pPr>
            <w:r>
              <w:rPr>
                <w:rFonts w:eastAsia="Times New Roman" w:cs="Times New Roman"/>
                <w:b/>
                <w:bCs/>
                <w:kern w:val="0"/>
                <w:sz w:val="24"/>
                <w:szCs w:val="24"/>
                <w:lang w:val="ru-RU" w:eastAsia="ru-RU" w:bidi="ar-SA"/>
              </w:rPr>
              <w:t>Согласие с требованием/ указание характеристик</w:t>
            </w:r>
          </w:p>
        </w:tc>
        <w:tc>
          <w:tcPr>
            <w:tcW w:w="2331" w:type="dxa"/>
            <w:tcBorders/>
            <w:vAlign w:val="center"/>
          </w:tcPr>
          <w:p>
            <w:pPr>
              <w:pStyle w:val="Normal"/>
              <w:widowControl w:val="false"/>
              <w:suppressAutoHyphens w:val="true"/>
              <w:spacing w:before="0" w:after="0"/>
              <w:jc w:val="center"/>
              <w:rPr>
                <w:b/>
                <w:bCs/>
                <w:sz w:val="24"/>
                <w:szCs w:val="24"/>
              </w:rPr>
            </w:pPr>
            <w:r>
              <w:rPr>
                <w:rFonts w:eastAsia="Times New Roman" w:cs="Times New Roman"/>
                <w:b/>
                <w:bCs/>
                <w:kern w:val="0"/>
                <w:sz w:val="24"/>
                <w:szCs w:val="24"/>
                <w:lang w:val="ru-RU" w:eastAsia="ru-RU" w:bidi="ar-SA"/>
              </w:rPr>
              <w:t>Предоставление подтверждающего документа или иной способ подтверждения</w:t>
            </w:r>
          </w:p>
        </w:tc>
      </w:tr>
      <w:tr>
        <w:trPr>
          <w:tblHeader w:val="true"/>
        </w:trPr>
        <w:tc>
          <w:tcPr>
            <w:tcW w:w="889" w:type="dxa"/>
            <w:tcBorders/>
            <w:vAlign w:val="center"/>
          </w:tcPr>
          <w:p>
            <w:pPr>
              <w:pStyle w:val="Normal"/>
              <w:widowControl w:val="false"/>
              <w:suppressAutoHyphens w:val="true"/>
              <w:spacing w:before="60" w:after="60"/>
              <w:jc w:val="center"/>
              <w:rPr>
                <w:rFonts w:ascii="Times New Roman" w:hAnsi="Times New Roman" w:eastAsia="Times New Roman" w:cs="Times New Roman"/>
                <w:kern w:val="0"/>
                <w:lang w:val="ru-RU" w:eastAsia="ru-RU" w:bidi="ar-SA"/>
              </w:rPr>
            </w:pPr>
            <w:r>
              <w:rPr>
                <w:rFonts w:eastAsia="Times New Roman" w:cs="Times New Roman"/>
                <w:b/>
                <w:kern w:val="0"/>
                <w:sz w:val="24"/>
                <w:szCs w:val="24"/>
                <w:lang w:val="ru-RU" w:eastAsia="ru-RU" w:bidi="ar-SA"/>
              </w:rPr>
              <w:t>1</w:t>
            </w:r>
          </w:p>
        </w:tc>
        <w:tc>
          <w:tcPr>
            <w:tcW w:w="1980" w:type="dxa"/>
            <w:tcBorders/>
            <w:vAlign w:val="center"/>
          </w:tcPr>
          <w:p>
            <w:pPr>
              <w:pStyle w:val="Normal"/>
              <w:widowControl w:val="false"/>
              <w:suppressAutoHyphens w:val="true"/>
              <w:spacing w:before="0" w:after="0"/>
              <w:jc w:val="center"/>
              <w:rPr>
                <w:b/>
                <w:sz w:val="24"/>
                <w:szCs w:val="24"/>
              </w:rPr>
            </w:pPr>
            <w:r>
              <w:rPr>
                <w:rFonts w:eastAsia="Times New Roman" w:cs="Times New Roman"/>
                <w:b/>
                <w:kern w:val="0"/>
                <w:sz w:val="24"/>
                <w:szCs w:val="24"/>
                <w:lang w:val="ru-RU" w:eastAsia="ru-RU" w:bidi="ar-SA"/>
              </w:rPr>
              <w:t>2</w:t>
            </w:r>
          </w:p>
        </w:tc>
        <w:tc>
          <w:tcPr>
            <w:tcW w:w="8313" w:type="dxa"/>
            <w:tcBorders/>
            <w:vAlign w:val="center"/>
          </w:tcPr>
          <w:p>
            <w:pPr>
              <w:pStyle w:val="Normal"/>
              <w:widowControl w:val="false"/>
              <w:suppressAutoHyphens w:val="true"/>
              <w:spacing w:before="0" w:after="0"/>
              <w:jc w:val="center"/>
              <w:rPr>
                <w:b/>
                <w:sz w:val="24"/>
                <w:szCs w:val="24"/>
              </w:rPr>
            </w:pPr>
            <w:r>
              <w:rPr>
                <w:rFonts w:eastAsia="Times New Roman" w:cs="Times New Roman"/>
                <w:b/>
                <w:kern w:val="0"/>
                <w:sz w:val="24"/>
                <w:szCs w:val="24"/>
                <w:lang w:val="ru-RU" w:eastAsia="ru-RU" w:bidi="ar-SA"/>
              </w:rPr>
              <w:t>3</w:t>
            </w:r>
          </w:p>
        </w:tc>
        <w:tc>
          <w:tcPr>
            <w:tcW w:w="2012" w:type="dxa"/>
            <w:tcBorders/>
            <w:vAlign w:val="center"/>
          </w:tcPr>
          <w:p>
            <w:pPr>
              <w:pStyle w:val="Normal"/>
              <w:widowControl w:val="false"/>
              <w:suppressAutoHyphens w:val="true"/>
              <w:spacing w:before="0" w:after="0"/>
              <w:jc w:val="center"/>
              <w:rPr>
                <w:b/>
                <w:sz w:val="24"/>
                <w:szCs w:val="24"/>
              </w:rPr>
            </w:pPr>
            <w:r>
              <w:rPr>
                <w:rFonts w:eastAsia="Times New Roman" w:cs="Times New Roman"/>
                <w:b/>
                <w:kern w:val="0"/>
                <w:sz w:val="24"/>
                <w:szCs w:val="24"/>
                <w:lang w:val="ru-RU" w:eastAsia="ru-RU" w:bidi="ar-SA"/>
              </w:rPr>
              <w:t>4</w:t>
            </w:r>
          </w:p>
        </w:tc>
        <w:tc>
          <w:tcPr>
            <w:tcW w:w="2331" w:type="dxa"/>
            <w:tcBorders/>
            <w:vAlign w:val="center"/>
          </w:tcPr>
          <w:p>
            <w:pPr>
              <w:pStyle w:val="Normal"/>
              <w:widowControl w:val="false"/>
              <w:suppressAutoHyphens w:val="true"/>
              <w:spacing w:before="0" w:after="0"/>
              <w:jc w:val="center"/>
              <w:rPr>
                <w:b/>
                <w:sz w:val="24"/>
                <w:szCs w:val="24"/>
              </w:rPr>
            </w:pPr>
            <w:r>
              <w:rPr>
                <w:rFonts w:eastAsia="Times New Roman" w:cs="Times New Roman"/>
                <w:b/>
                <w:kern w:val="0"/>
                <w:sz w:val="24"/>
                <w:szCs w:val="24"/>
                <w:lang w:val="ru-RU" w:eastAsia="ru-RU" w:bidi="ar-SA"/>
              </w:rPr>
              <w:t>5</w:t>
            </w:r>
          </w:p>
        </w:tc>
      </w:tr>
      <w:tr>
        <w:trPr/>
        <w:tc>
          <w:tcPr>
            <w:tcW w:w="889" w:type="dxa"/>
            <w:tcBorders/>
          </w:tcPr>
          <w:p>
            <w:pPr>
              <w:pStyle w:val="ListParagraph"/>
              <w:widowControl w:val="false"/>
              <w:numPr>
                <w:ilvl w:val="0"/>
                <w:numId w:val="9"/>
              </w:numPr>
              <w:suppressAutoHyphens w:val="true"/>
              <w:spacing w:before="60" w:after="60"/>
              <w:ind w:left="0" w:firstLine="179"/>
              <w:contextualSpacing/>
              <w:jc w:val="center"/>
              <w:rPr>
                <w:rFonts w:ascii="Times New Roman" w:hAnsi="Times New Roman" w:cs="Times New Roman"/>
                <w:kern w:val="0"/>
                <w:lang w:val="ru-RU" w:eastAsia="ru-RU" w:bidi="ar-SA"/>
              </w:rPr>
            </w:pPr>
            <w:r>
              <w:rPr>
                <w:rFonts w:cs="Times New Roman"/>
                <w:kern w:val="0"/>
                <w:lang w:val="ru-RU" w:eastAsia="ru-RU" w:bidi="ar-SA"/>
              </w:rPr>
            </w:r>
          </w:p>
        </w:tc>
        <w:tc>
          <w:tcPr>
            <w:tcW w:w="10293" w:type="dxa"/>
            <w:gridSpan w:val="2"/>
            <w:tcBorders/>
            <w:vAlign w:val="center"/>
          </w:tcPr>
          <w:p>
            <w:pPr>
              <w:pStyle w:val="Normal"/>
              <w:widowControl w:val="false"/>
              <w:suppressAutoHyphens w:val="true"/>
              <w:spacing w:before="0" w:after="0"/>
              <w:jc w:val="left"/>
              <w:rPr>
                <w:b/>
                <w:sz w:val="24"/>
                <w:szCs w:val="24"/>
              </w:rPr>
            </w:pPr>
            <w:r>
              <w:rPr>
                <w:rFonts w:eastAsia="Times New Roman" w:cs="Times New Roman"/>
                <w:b/>
                <w:kern w:val="0"/>
                <w:sz w:val="24"/>
                <w:szCs w:val="24"/>
                <w:lang w:val="ru-RU" w:eastAsia="ru-RU" w:bidi="ar-SA"/>
              </w:rPr>
              <w:t xml:space="preserve">Общие требования к продукции </w:t>
            </w:r>
          </w:p>
        </w:tc>
        <w:tc>
          <w:tcPr>
            <w:tcW w:w="2012" w:type="dxa"/>
            <w:tcBorders/>
          </w:tcPr>
          <w:p>
            <w:pPr>
              <w:pStyle w:val="Normal"/>
              <w:widowControl w:val="false"/>
              <w:suppressAutoHyphens w:val="true"/>
              <w:spacing w:before="0" w:after="0"/>
              <w:jc w:val="center"/>
              <w:rPr>
                <w:b/>
                <w:sz w:val="24"/>
                <w:szCs w:val="24"/>
              </w:rPr>
            </w:pPr>
            <w:r>
              <w:rPr>
                <w:rFonts w:eastAsia="Times New Roman" w:cs="Times New Roman"/>
                <w:b/>
                <w:kern w:val="0"/>
                <w:sz w:val="24"/>
                <w:szCs w:val="24"/>
                <w:lang w:val="ru-RU" w:eastAsia="ru-RU" w:bidi="ar-SA"/>
              </w:rPr>
              <w:t>-//-</w:t>
            </w:r>
          </w:p>
        </w:tc>
        <w:tc>
          <w:tcPr>
            <w:tcW w:w="2331" w:type="dxa"/>
            <w:tcBorders/>
          </w:tcPr>
          <w:p>
            <w:pPr>
              <w:pStyle w:val="Normal"/>
              <w:widowControl w:val="false"/>
              <w:suppressAutoHyphens w:val="true"/>
              <w:spacing w:before="0" w:after="0"/>
              <w:jc w:val="center"/>
              <w:rPr>
                <w:b/>
                <w:sz w:val="24"/>
                <w:szCs w:val="24"/>
              </w:rPr>
            </w:pPr>
            <w:r>
              <w:rPr>
                <w:rFonts w:eastAsia="Times New Roman" w:cs="Times New Roman"/>
                <w:b/>
                <w:kern w:val="0"/>
                <w:sz w:val="24"/>
                <w:szCs w:val="24"/>
                <w:lang w:val="ru-RU" w:eastAsia="ru-RU" w:bidi="ar-SA"/>
              </w:rPr>
              <w:t>-//-</w:t>
            </w:r>
          </w:p>
        </w:tc>
      </w:tr>
      <w:tr>
        <w:trPr/>
        <w:tc>
          <w:tcPr>
            <w:tcW w:w="889" w:type="dxa"/>
            <w:tcBorders/>
          </w:tcPr>
          <w:p>
            <w:pPr>
              <w:pStyle w:val="ListParagraph"/>
              <w:widowControl w:val="false"/>
              <w:numPr>
                <w:ilvl w:val="1"/>
                <w:numId w:val="9"/>
              </w:numPr>
              <w:suppressAutoHyphens w:val="true"/>
              <w:spacing w:before="60" w:after="60"/>
              <w:ind w:left="-117" w:firstLine="142"/>
              <w:contextualSpacing/>
              <w:jc w:val="left"/>
              <w:rPr>
                <w:rFonts w:ascii="Times New Roman" w:hAnsi="Times New Roman" w:cs="Times New Roman"/>
                <w:kern w:val="0"/>
                <w:lang w:val="ru-RU" w:eastAsia="ru-RU" w:bidi="ar-SA"/>
              </w:rPr>
            </w:pPr>
            <w:r>
              <w:rPr>
                <w:rFonts w:cs="Times New Roman"/>
                <w:kern w:val="0"/>
                <w:lang w:val="ru-RU" w:eastAsia="ru-RU" w:bidi="ar-SA"/>
              </w:rPr>
            </w:r>
          </w:p>
        </w:tc>
        <w:tc>
          <w:tcPr>
            <w:tcW w:w="10293" w:type="dxa"/>
            <w:gridSpan w:val="2"/>
            <w:tcBorders/>
            <w:shd w:color="auto" w:fill="auto" w:val="clear"/>
            <w:vAlign w:val="center"/>
          </w:tcPr>
          <w:p>
            <w:pPr>
              <w:pStyle w:val="ListParagraph"/>
              <w:widowControl w:val="false"/>
              <w:numPr>
                <w:ilvl w:val="2"/>
                <w:numId w:val="9"/>
              </w:numPr>
              <w:suppressAutoHyphens w:val="true"/>
              <w:spacing w:before="60" w:after="6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Спецодежда должна удовлетворять требованиям безопасности и защиты работника от опасных и вредных производственных факторов на протяжении всего срока эксплуатации, установленного типовыми нормами и соответствовать требованиям ТР ТС 019/2011.</w:t>
            </w:r>
          </w:p>
          <w:p>
            <w:pPr>
              <w:pStyle w:val="ListParagraph"/>
              <w:widowControl w:val="false"/>
              <w:numPr>
                <w:ilvl w:val="2"/>
                <w:numId w:val="9"/>
              </w:numPr>
              <w:suppressAutoHyphens w:val="true"/>
              <w:spacing w:before="60" w:after="6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Размер предоставляемых СИЗ должен соответствовать антропометрическим измерениям работников, в соответствии с размерами. Спецодежда должна быть удобной в эксплуатации.</w:t>
            </w:r>
          </w:p>
          <w:p>
            <w:pPr>
              <w:pStyle w:val="ListParagraph"/>
              <w:widowControl w:val="false"/>
              <w:numPr>
                <w:ilvl w:val="2"/>
                <w:numId w:val="9"/>
              </w:numPr>
              <w:suppressAutoHyphens w:val="true"/>
              <w:spacing w:before="60" w:after="6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Поставляемые костюмы и обувь должны быть новыми и ранее не использованными и изготовлены не ранее года, предшествующего году поставки.</w:t>
            </w:r>
          </w:p>
        </w:tc>
        <w:tc>
          <w:tcPr>
            <w:tcW w:w="2012" w:type="dxa"/>
            <w:tcBorders/>
            <w:shd w:color="auto" w:fill="auto" w:val="clear"/>
          </w:tcPr>
          <w:p>
            <w:pPr>
              <w:pStyle w:val="Normal"/>
              <w:widowControl w:val="false"/>
              <w:suppressAutoHyphens w:val="true"/>
              <w:spacing w:before="0" w:after="0"/>
              <w:jc w:val="center"/>
              <w:rPr>
                <w:i/>
                <w:i/>
                <w:sz w:val="24"/>
                <w:szCs w:val="24"/>
              </w:rPr>
            </w:pPr>
            <w:r>
              <w:rPr>
                <w:rFonts w:eastAsia="Times New Roman" w:cs="Times New Roman"/>
                <w:i/>
                <w:kern w:val="0"/>
                <w:sz w:val="24"/>
                <w:szCs w:val="24"/>
                <w:lang w:val="ru-RU" w:eastAsia="ru-RU" w:bidi="ar-SA"/>
              </w:rPr>
              <w:t>Согласие с требованием</w:t>
            </w:r>
          </w:p>
        </w:tc>
        <w:tc>
          <w:tcPr>
            <w:tcW w:w="2331" w:type="dxa"/>
            <w:tcBorders/>
            <w:shd w:color="auto" w:fill="auto" w:val="clear"/>
          </w:tcPr>
          <w:p>
            <w:pPr>
              <w:pStyle w:val="Normal"/>
              <w:widowControl w:val="false"/>
              <w:suppressAutoHyphens w:val="true"/>
              <w:spacing w:before="0" w:after="0"/>
              <w:jc w:val="center"/>
              <w:rPr>
                <w:sz w:val="24"/>
                <w:szCs w:val="24"/>
              </w:rPr>
            </w:pPr>
            <w:r>
              <w:rPr>
                <w:rFonts w:eastAsia="Times New Roman" w:cs="Times New Roman"/>
                <w:kern w:val="0"/>
                <w:sz w:val="24"/>
                <w:szCs w:val="24"/>
                <w:lang w:val="ru-RU" w:eastAsia="ru-RU" w:bidi="ar-SA"/>
              </w:rPr>
              <w:t xml:space="preserve">Предоставить в составе заявки </w:t>
            </w:r>
            <w:r>
              <w:rPr>
                <w:rFonts w:eastAsia="Calibri" w:cs="Times New Roman"/>
                <w:kern w:val="0"/>
                <w:sz w:val="24"/>
                <w:szCs w:val="24"/>
                <w:lang w:val="ru-RU" w:eastAsia="en-US" w:bidi="ar-SA"/>
              </w:rPr>
              <w:t>протоколы испытаний, подтверждающие защитные и эксплуатационные свойства</w:t>
            </w:r>
          </w:p>
        </w:tc>
      </w:tr>
      <w:tr>
        <w:trPr/>
        <w:tc>
          <w:tcPr>
            <w:tcW w:w="889" w:type="dxa"/>
            <w:tcBorders/>
          </w:tcPr>
          <w:p>
            <w:pPr>
              <w:pStyle w:val="ListParagraph"/>
              <w:widowControl w:val="false"/>
              <w:numPr>
                <w:ilvl w:val="1"/>
                <w:numId w:val="9"/>
              </w:numPr>
              <w:suppressAutoHyphens w:val="true"/>
              <w:spacing w:before="60" w:after="60"/>
              <w:ind w:left="-117" w:firstLine="142"/>
              <w:contextualSpacing/>
              <w:jc w:val="left"/>
              <w:rPr>
                <w:rFonts w:ascii="Times New Roman" w:hAnsi="Times New Roman" w:cs="Times New Roman"/>
                <w:kern w:val="0"/>
                <w:lang w:val="ru-RU" w:eastAsia="ru-RU" w:bidi="ar-SA"/>
              </w:rPr>
            </w:pPr>
            <w:r>
              <w:rPr>
                <w:rFonts w:cs="Times New Roman"/>
                <w:kern w:val="0"/>
                <w:lang w:val="ru-RU" w:eastAsia="ru-RU" w:bidi="ar-SA"/>
              </w:rPr>
            </w:r>
          </w:p>
        </w:tc>
        <w:tc>
          <w:tcPr>
            <w:tcW w:w="1980" w:type="dxa"/>
            <w:tcBorders/>
            <w:shd w:color="auto" w:fill="auto" w:val="clear"/>
          </w:tcPr>
          <w:p>
            <w:pPr>
              <w:pStyle w:val="Normal"/>
              <w:widowControl w:val="false"/>
              <w:suppressAutoHyphens w:val="true"/>
              <w:spacing w:before="60" w:after="60"/>
              <w:ind w:left="31" w:hanging="0"/>
              <w:jc w:val="left"/>
              <w:rPr>
                <w:rFonts w:ascii="Times New Roman" w:hAnsi="Times New Roman" w:eastAsia="Times New Roman" w:cs="Times New Roman"/>
                <w:kern w:val="0"/>
                <w:lang w:val="ru-RU" w:eastAsia="ru-RU" w:bidi="ar-SA"/>
              </w:rPr>
            </w:pPr>
            <w:r>
              <w:rPr>
                <w:rFonts w:eastAsia="Times New Roman" w:cs="Times New Roman"/>
                <w:kern w:val="0"/>
                <w:sz w:val="24"/>
                <w:szCs w:val="24"/>
                <w:lang w:val="ru-RU" w:eastAsia="ru-RU" w:bidi="ar-SA"/>
              </w:rPr>
              <w:t xml:space="preserve">Требования к специальной обуви </w:t>
            </w:r>
          </w:p>
        </w:tc>
        <w:tc>
          <w:tcPr>
            <w:tcW w:w="8313" w:type="dxa"/>
            <w:tcBorders/>
            <w:shd w:color="auto" w:fill="auto" w:val="clear"/>
          </w:tcPr>
          <w:p>
            <w:pPr>
              <w:pStyle w:val="ListParagraph"/>
              <w:widowControl w:val="false"/>
              <w:numPr>
                <w:ilvl w:val="2"/>
                <w:numId w:val="9"/>
              </w:numPr>
              <w:tabs>
                <w:tab w:val="clear" w:pos="720"/>
                <w:tab w:val="left" w:pos="740" w:leader="none"/>
                <w:tab w:val="left" w:pos="882" w:leader="none"/>
              </w:tabs>
              <w:suppressAutoHyphens w:val="true"/>
              <w:spacing w:before="0" w:after="0"/>
              <w:ind w:left="28" w:hanging="28"/>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Спецобувь должна удовлетворять требованиям безопасности и защиты работника от опасных и вредных производственных факторов на протяжении всего срока эксплуатации, установленного типовыми нормами, а также выполнять две основные функции: защитную и снижающую усталость. </w:t>
            </w:r>
          </w:p>
          <w:p>
            <w:pPr>
              <w:pStyle w:val="ListParagraph"/>
              <w:widowControl w:val="false"/>
              <w:numPr>
                <w:ilvl w:val="2"/>
                <w:numId w:val="9"/>
              </w:numPr>
              <w:tabs>
                <w:tab w:val="clear" w:pos="720"/>
                <w:tab w:val="left" w:pos="740" w:leader="none"/>
                <w:tab w:val="left" w:pos="882" w:leader="none"/>
              </w:tabs>
              <w:suppressAutoHyphens w:val="true"/>
              <w:spacing w:before="60" w:after="6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Спецобувь должна иметь широкую колодку,</w:t>
            </w:r>
            <w:r>
              <w:rPr>
                <w:rFonts w:eastAsia="Times New Roman" w:cs="Times New Roman"/>
                <w:kern w:val="0"/>
                <w:sz w:val="28"/>
                <w:szCs w:val="28"/>
                <w:lang w:val="ru-RU" w:eastAsia="ru-RU" w:bidi="ar-SA"/>
              </w:rPr>
              <w:t xml:space="preserve"> </w:t>
            </w:r>
            <w:r>
              <w:rPr>
                <w:rFonts w:cs="Times New Roman"/>
                <w:kern w:val="0"/>
                <w:lang w:val="ru-RU" w:eastAsia="ru-RU" w:bidi="ar-SA"/>
              </w:rPr>
              <w:t>гибкую подошву и быть облегченной.</w:t>
            </w:r>
          </w:p>
          <w:p>
            <w:pPr>
              <w:pStyle w:val="ListParagraph"/>
              <w:widowControl w:val="false"/>
              <w:numPr>
                <w:ilvl w:val="2"/>
                <w:numId w:val="9"/>
              </w:numPr>
              <w:tabs>
                <w:tab w:val="clear" w:pos="720"/>
                <w:tab w:val="left" w:pos="740" w:leader="none"/>
                <w:tab w:val="left" w:pos="882" w:leader="none"/>
              </w:tabs>
              <w:suppressAutoHyphens w:val="true"/>
              <w:spacing w:before="60" w:after="6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Все ботинки, полуботинки и сапоги должны иметь жесткий защитный подносок из поликарбоната/металла c резиновым / полиуретановым уплотнителем.</w:t>
            </w:r>
          </w:p>
          <w:p>
            <w:pPr>
              <w:pStyle w:val="ListParagraph"/>
              <w:widowControl w:val="false"/>
              <w:numPr>
                <w:ilvl w:val="2"/>
                <w:numId w:val="9"/>
              </w:numPr>
              <w:tabs>
                <w:tab w:val="clear" w:pos="720"/>
                <w:tab w:val="left" w:pos="740" w:leader="none"/>
                <w:tab w:val="left" w:pos="882" w:leader="none"/>
              </w:tabs>
              <w:suppressAutoHyphens w:val="true"/>
              <w:spacing w:before="60" w:after="6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Обувь специальная кожаная должна защищать от механических повреждений, иметь высокую степень износоустойчивости, соответствовать установленным гигиеническим нормам, сохранять защитные свойства на протяжении всего срока эксплуатации. Обувь специальная должна соответствовать требованиям национальных стандартов и других нормативных документов в зависимости от ее назначения. </w:t>
            </w:r>
          </w:p>
          <w:p>
            <w:pPr>
              <w:pStyle w:val="ListParagraph"/>
              <w:widowControl w:val="false"/>
              <w:numPr>
                <w:ilvl w:val="2"/>
                <w:numId w:val="9"/>
              </w:numPr>
              <w:tabs>
                <w:tab w:val="clear" w:pos="720"/>
                <w:tab w:val="left" w:pos="740" w:leader="none"/>
                <w:tab w:val="left" w:pos="882" w:leader="none"/>
              </w:tabs>
              <w:suppressAutoHyphens w:val="true"/>
              <w:spacing w:before="60" w:after="6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Вся обувь должна изготавливаться в корпоративном стиле Группы РусГидро согласно Приложению 1 настоящих ТТ. </w:t>
            </w:r>
          </w:p>
          <w:p>
            <w:pPr>
              <w:pStyle w:val="ListParagraph"/>
              <w:widowControl w:val="false"/>
              <w:numPr>
                <w:ilvl w:val="2"/>
                <w:numId w:val="9"/>
              </w:numPr>
              <w:tabs>
                <w:tab w:val="clear" w:pos="720"/>
                <w:tab w:val="left" w:pos="740" w:leader="none"/>
                <w:tab w:val="left" w:pos="882" w:leader="none"/>
              </w:tabs>
              <w:suppressAutoHyphens w:val="true"/>
              <w:spacing w:before="60" w:after="6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Все отделочные строчки должны быть выполнены синими нитками, шнурки и подошва выполнены с использованием черно-синих материалов.</w:t>
            </w:r>
          </w:p>
          <w:p>
            <w:pPr>
              <w:pStyle w:val="ListParagraph"/>
              <w:widowControl w:val="false"/>
              <w:numPr>
                <w:ilvl w:val="2"/>
                <w:numId w:val="9"/>
              </w:numPr>
              <w:tabs>
                <w:tab w:val="clear" w:pos="720"/>
                <w:tab w:val="left" w:pos="740" w:leader="none"/>
                <w:tab w:val="left" w:pos="882" w:leader="none"/>
              </w:tabs>
              <w:suppressAutoHyphens w:val="true"/>
              <w:spacing w:before="60" w:after="6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Допускается использование подошвы в черной цветовой гамме с целью улучшения физико-механических свойств готового изделия.</w:t>
            </w:r>
          </w:p>
          <w:p>
            <w:pPr>
              <w:pStyle w:val="ListParagraph"/>
              <w:widowControl w:val="false"/>
              <w:numPr>
                <w:ilvl w:val="2"/>
                <w:numId w:val="9"/>
              </w:numPr>
              <w:suppressAutoHyphens w:val="true"/>
              <w:spacing w:before="60" w:after="60"/>
              <w:ind w:left="31" w:hanging="0"/>
              <w:contextualSpacing/>
              <w:jc w:val="both"/>
              <w:rPr>
                <w:rFonts w:ascii="Times New Roman" w:hAnsi="Times New Roman" w:cs="Times New Roman"/>
                <w:kern w:val="0"/>
                <w:lang w:val="ru-RU" w:eastAsia="ru-RU" w:bidi="ar-SA"/>
              </w:rPr>
            </w:pPr>
            <w:r>
              <w:rPr>
                <w:rFonts w:cs="Times New Roman"/>
                <w:kern w:val="0"/>
                <w:lang w:val="ru-RU" w:eastAsia="ru-RU" w:bidi="ar-SA"/>
              </w:rPr>
              <w:t>На спецобувь должен быть нанесен фирменный логотип «РусГидро».</w:t>
            </w:r>
          </w:p>
        </w:tc>
        <w:tc>
          <w:tcPr>
            <w:tcW w:w="2012" w:type="dxa"/>
            <w:tcBorders/>
            <w:shd w:color="auto" w:fill="auto" w:val="clear"/>
          </w:tcPr>
          <w:p>
            <w:pPr>
              <w:pStyle w:val="Normal"/>
              <w:widowControl w:val="false"/>
              <w:suppressAutoHyphens w:val="true"/>
              <w:spacing w:before="0" w:after="0"/>
              <w:jc w:val="center"/>
              <w:rPr>
                <w:i/>
                <w:i/>
                <w:sz w:val="24"/>
                <w:szCs w:val="24"/>
              </w:rPr>
            </w:pPr>
            <w:r>
              <w:rPr>
                <w:rFonts w:eastAsia="Times New Roman" w:cs="Times New Roman"/>
                <w:i/>
                <w:kern w:val="0"/>
                <w:sz w:val="24"/>
                <w:szCs w:val="24"/>
                <w:lang w:val="ru-RU" w:eastAsia="ru-RU" w:bidi="ar-SA"/>
              </w:rPr>
              <w:t>Согласие с требованием</w:t>
            </w:r>
          </w:p>
        </w:tc>
        <w:tc>
          <w:tcPr>
            <w:tcW w:w="2331" w:type="dxa"/>
            <w:tcBorders/>
            <w:shd w:color="auto" w:fill="auto" w:val="clear"/>
          </w:tcPr>
          <w:p>
            <w:pPr>
              <w:pStyle w:val="Normal"/>
              <w:widowControl w:val="false"/>
              <w:suppressAutoHyphens w:val="true"/>
              <w:spacing w:before="0" w:after="0"/>
              <w:jc w:val="center"/>
              <w:rPr>
                <w:sz w:val="24"/>
                <w:szCs w:val="24"/>
              </w:rPr>
            </w:pPr>
            <w:r>
              <w:rPr>
                <w:rFonts w:eastAsia="Times New Roman" w:cs="Times New Roman"/>
                <w:kern w:val="0"/>
                <w:sz w:val="24"/>
                <w:szCs w:val="24"/>
                <w:lang w:val="ru-RU" w:eastAsia="ru-RU" w:bidi="ar-SA"/>
              </w:rPr>
              <w:t xml:space="preserve">Предоставить в составе заявки </w:t>
            </w:r>
            <w:r>
              <w:rPr>
                <w:rFonts w:eastAsia="Calibri" w:cs="Times New Roman"/>
                <w:kern w:val="0"/>
                <w:sz w:val="24"/>
                <w:szCs w:val="24"/>
                <w:lang w:val="ru-RU" w:eastAsia="en-US" w:bidi="ar-SA"/>
              </w:rPr>
              <w:t>протоколы испытаний, подтверждающие защитные и эксплуатационные свойства</w:t>
            </w:r>
          </w:p>
        </w:tc>
      </w:tr>
      <w:tr>
        <w:trPr/>
        <w:tc>
          <w:tcPr>
            <w:tcW w:w="889" w:type="dxa"/>
            <w:tcBorders/>
          </w:tcPr>
          <w:p>
            <w:pPr>
              <w:pStyle w:val="ListParagraph"/>
              <w:widowControl w:val="false"/>
              <w:numPr>
                <w:ilvl w:val="1"/>
                <w:numId w:val="9"/>
              </w:numPr>
              <w:suppressAutoHyphens w:val="true"/>
              <w:spacing w:before="60" w:after="60"/>
              <w:ind w:left="-117" w:firstLine="142"/>
              <w:contextualSpacing/>
              <w:jc w:val="left"/>
              <w:rPr>
                <w:rFonts w:ascii="Times New Roman" w:hAnsi="Times New Roman" w:cs="Times New Roman"/>
                <w:kern w:val="0"/>
                <w:lang w:val="ru-RU" w:eastAsia="ru-RU" w:bidi="ar-SA"/>
              </w:rPr>
            </w:pPr>
            <w:r>
              <w:rPr>
                <w:rFonts w:cs="Times New Roman"/>
                <w:kern w:val="0"/>
                <w:lang w:val="ru-RU" w:eastAsia="ru-RU" w:bidi="ar-SA"/>
              </w:rPr>
            </w:r>
          </w:p>
        </w:tc>
        <w:tc>
          <w:tcPr>
            <w:tcW w:w="1980" w:type="dxa"/>
            <w:tcBorders/>
            <w:shd w:color="auto" w:fill="auto" w:val="clear"/>
          </w:tcPr>
          <w:p>
            <w:pPr>
              <w:pStyle w:val="Normal"/>
              <w:widowControl w:val="false"/>
              <w:suppressAutoHyphens w:val="true"/>
              <w:spacing w:before="60" w:after="60"/>
              <w:ind w:left="31" w:hanging="0"/>
              <w:jc w:val="left"/>
              <w:rPr>
                <w:sz w:val="24"/>
                <w:szCs w:val="24"/>
              </w:rPr>
            </w:pPr>
            <w:r>
              <w:rPr>
                <w:rFonts w:eastAsia="Times New Roman" w:cs="Times New Roman"/>
                <w:kern w:val="0"/>
                <w:sz w:val="24"/>
                <w:szCs w:val="24"/>
                <w:lang w:val="ru-RU" w:eastAsia="ru-RU" w:bidi="ar-SA"/>
              </w:rPr>
              <w:t xml:space="preserve">Требования к ткани </w:t>
            </w:r>
          </w:p>
        </w:tc>
        <w:tc>
          <w:tcPr>
            <w:tcW w:w="8313" w:type="dxa"/>
            <w:tcBorders/>
            <w:shd w:color="auto" w:fill="auto" w:val="clear"/>
          </w:tcPr>
          <w:p>
            <w:pPr>
              <w:pStyle w:val="ListParagraph"/>
              <w:widowControl w:val="false"/>
              <w:numPr>
                <w:ilvl w:val="2"/>
                <w:numId w:val="9"/>
              </w:numPr>
              <w:suppressAutoHyphens w:val="true"/>
              <w:spacing w:before="60" w:after="60"/>
              <w:ind w:left="31" w:hanging="0"/>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Костюмы для защиты от общих производственных загрязнений, белье нательное должны быть изготовлены из тканей, произведенных в Российской Федерации. </w:t>
            </w:r>
          </w:p>
          <w:p>
            <w:pPr>
              <w:pStyle w:val="ListParagraph"/>
              <w:widowControl w:val="false"/>
              <w:numPr>
                <w:ilvl w:val="2"/>
                <w:numId w:val="9"/>
              </w:numPr>
              <w:suppressAutoHyphens w:val="true"/>
              <w:spacing w:before="0" w:after="0"/>
              <w:ind w:left="31" w:hanging="0"/>
              <w:contextualSpacing/>
              <w:jc w:val="both"/>
              <w:rPr>
                <w:rFonts w:ascii="Times New Roman" w:hAnsi="Times New Roman" w:cs="Times New Roman"/>
                <w:kern w:val="0"/>
                <w:lang w:val="ru-RU" w:eastAsia="ru-RU" w:bidi="ar-SA"/>
              </w:rPr>
            </w:pPr>
            <w:r>
              <w:rPr>
                <w:rFonts w:cs="Times New Roman"/>
                <w:kern w:val="0"/>
                <w:lang w:val="ru-RU" w:eastAsia="ru-RU" w:bidi="ar-SA"/>
              </w:rPr>
              <w:t>С целью снижения риска поставок контрафактной продукции и упрощения контроля за используемыми при пошиве спецодежды тканями и материалами, при пошиве костюмов для защиты от ОПЗ должны быть использованы ткани с нанесением на изнаночную сторону специальной несмываемой маркировки – фирменного логотипа производителя ткани.</w:t>
            </w:r>
          </w:p>
        </w:tc>
        <w:tc>
          <w:tcPr>
            <w:tcW w:w="2012" w:type="dxa"/>
            <w:tcBorders/>
            <w:shd w:color="auto" w:fill="auto" w:val="clear"/>
          </w:tcPr>
          <w:p>
            <w:pPr>
              <w:pStyle w:val="Normal"/>
              <w:widowControl w:val="false"/>
              <w:suppressAutoHyphens w:val="true"/>
              <w:spacing w:before="0" w:after="0"/>
              <w:jc w:val="center"/>
              <w:rPr>
                <w:i/>
                <w:i/>
                <w:sz w:val="24"/>
                <w:szCs w:val="24"/>
              </w:rPr>
            </w:pPr>
            <w:r>
              <w:rPr>
                <w:rFonts w:eastAsia="Times New Roman" w:cs="Times New Roman"/>
                <w:i/>
                <w:kern w:val="0"/>
                <w:sz w:val="24"/>
                <w:szCs w:val="24"/>
                <w:lang w:val="ru-RU" w:eastAsia="ru-RU" w:bidi="ar-SA"/>
              </w:rPr>
              <w:t>Согласие с требованием</w:t>
            </w:r>
          </w:p>
        </w:tc>
        <w:tc>
          <w:tcPr>
            <w:tcW w:w="2331" w:type="dxa"/>
            <w:tcBorders/>
            <w:shd w:color="auto" w:fill="auto" w:val="clear"/>
          </w:tcPr>
          <w:p>
            <w:pPr>
              <w:pStyle w:val="Normal"/>
              <w:widowControl w:val="false"/>
              <w:suppressAutoHyphens w:val="true"/>
              <w:spacing w:before="0" w:after="0"/>
              <w:jc w:val="center"/>
              <w:rPr>
                <w:sz w:val="24"/>
                <w:szCs w:val="24"/>
              </w:rPr>
            </w:pPr>
            <w:r>
              <w:rPr>
                <w:rFonts w:eastAsia="Times New Roman" w:cs="Times New Roman"/>
                <w:kern w:val="0"/>
                <w:sz w:val="24"/>
                <w:szCs w:val="24"/>
                <w:lang w:val="ru-RU" w:eastAsia="ru-RU" w:bidi="ar-SA"/>
              </w:rPr>
              <w:t xml:space="preserve">– </w:t>
            </w:r>
          </w:p>
        </w:tc>
      </w:tr>
      <w:tr>
        <w:trPr/>
        <w:tc>
          <w:tcPr>
            <w:tcW w:w="889" w:type="dxa"/>
            <w:tcBorders/>
          </w:tcPr>
          <w:p>
            <w:pPr>
              <w:pStyle w:val="ListParagraph"/>
              <w:widowControl w:val="false"/>
              <w:numPr>
                <w:ilvl w:val="1"/>
                <w:numId w:val="9"/>
              </w:numPr>
              <w:suppressAutoHyphens w:val="true"/>
              <w:spacing w:before="60" w:after="60"/>
              <w:ind w:left="-117" w:firstLine="142"/>
              <w:contextualSpacing/>
              <w:jc w:val="left"/>
              <w:rPr>
                <w:rFonts w:ascii="Times New Roman" w:hAnsi="Times New Roman" w:cs="Times New Roman"/>
                <w:kern w:val="0"/>
                <w:lang w:val="ru-RU" w:eastAsia="ru-RU" w:bidi="ar-SA"/>
              </w:rPr>
            </w:pPr>
            <w:r>
              <w:rPr>
                <w:rFonts w:cs="Times New Roman"/>
                <w:kern w:val="0"/>
                <w:lang w:val="ru-RU" w:eastAsia="ru-RU" w:bidi="ar-SA"/>
              </w:rPr>
            </w:r>
          </w:p>
        </w:tc>
        <w:tc>
          <w:tcPr>
            <w:tcW w:w="1980" w:type="dxa"/>
            <w:tcBorders/>
            <w:shd w:color="auto" w:fill="auto" w:val="clear"/>
          </w:tcPr>
          <w:p>
            <w:pPr>
              <w:pStyle w:val="Normal"/>
              <w:widowControl w:val="false"/>
              <w:suppressAutoHyphens w:val="true"/>
              <w:spacing w:before="60" w:after="60"/>
              <w:ind w:left="31" w:hanging="0"/>
              <w:jc w:val="left"/>
              <w:rPr>
                <w:sz w:val="24"/>
                <w:szCs w:val="24"/>
              </w:rPr>
            </w:pPr>
            <w:r>
              <w:rPr>
                <w:rFonts w:eastAsia="Times New Roman" w:cs="Times New Roman"/>
                <w:kern w:val="0"/>
                <w:sz w:val="24"/>
                <w:szCs w:val="24"/>
                <w:lang w:val="ru-RU" w:eastAsia="ru-RU" w:bidi="ar-SA"/>
              </w:rPr>
              <w:t>Требования к швам, фурнитуре спецодежды и спецобуви</w:t>
            </w:r>
          </w:p>
        </w:tc>
        <w:tc>
          <w:tcPr>
            <w:tcW w:w="8313" w:type="dxa"/>
            <w:tcBorders/>
            <w:shd w:color="auto" w:fill="auto" w:val="clear"/>
          </w:tcPr>
          <w:p>
            <w:pPr>
              <w:pStyle w:val="ListParagraph"/>
              <w:widowControl w:val="false"/>
              <w:numPr>
                <w:ilvl w:val="2"/>
                <w:numId w:val="9"/>
              </w:numPr>
              <w:suppressAutoHyphens w:val="true"/>
              <w:spacing w:before="60" w:after="6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Разрывная нагрузка швов – не менее 250 Н (п. 4.3 ТР ТС 019/2011). Метод определения по ГОСТ 28073-89 «Изделия швейные. Методы определения разрывной нагрузки, удлинения ниточных швов, раздвигаемости нитей ткани в швах».</w:t>
            </w:r>
          </w:p>
          <w:p>
            <w:pPr>
              <w:pStyle w:val="ListParagraph"/>
              <w:widowControl w:val="false"/>
              <w:numPr>
                <w:ilvl w:val="2"/>
                <w:numId w:val="9"/>
              </w:numPr>
              <w:suppressAutoHyphens w:val="true"/>
              <w:spacing w:before="60" w:after="6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Устойчивость окраски по ГОСТ 11209-2014 «Ткани для специальной одежды. Общие технические требования. Методы испытаний».</w:t>
            </w:r>
          </w:p>
          <w:p>
            <w:pPr>
              <w:pStyle w:val="ListParagraph"/>
              <w:widowControl w:val="false"/>
              <w:numPr>
                <w:ilvl w:val="2"/>
                <w:numId w:val="9"/>
              </w:numPr>
              <w:suppressAutoHyphens w:val="true"/>
              <w:spacing w:before="60" w:after="6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r>
          </w:p>
          <w:p>
            <w:pPr>
              <w:pStyle w:val="ListParagraph"/>
              <w:widowControl w:val="false"/>
              <w:numPr>
                <w:ilvl w:val="2"/>
                <w:numId w:val="9"/>
              </w:numPr>
              <w:suppressAutoHyphens w:val="true"/>
              <w:spacing w:before="60" w:after="6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Допускаемое отклонение размеров деталей нижних настилов не должно превышать отклонений в сторону уменьшения 1,5-2 мм.</w:t>
            </w:r>
          </w:p>
          <w:p>
            <w:pPr>
              <w:pStyle w:val="ListParagraph"/>
              <w:widowControl w:val="false"/>
              <w:numPr>
                <w:ilvl w:val="2"/>
                <w:numId w:val="9"/>
              </w:numPr>
              <w:suppressAutoHyphens w:val="true"/>
              <w:spacing w:before="60" w:after="6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Концы швов должны быть закреплены путем прошивания взад-вперед или снабжены закрепкой (с учетом особенностей оборудования).</w:t>
            </w:r>
          </w:p>
          <w:p>
            <w:pPr>
              <w:pStyle w:val="ListParagraph"/>
              <w:widowControl w:val="false"/>
              <w:numPr>
                <w:ilvl w:val="2"/>
                <w:numId w:val="9"/>
              </w:numPr>
              <w:suppressAutoHyphens w:val="true"/>
              <w:spacing w:before="60" w:after="6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Входы в карман, разрезы, застежки и др. должны быть дополнительно скреплены на специальных закрепочных машинах, для обеспечения безупречного внешнего вида и продления срока эксплуатации этих элементов.</w:t>
            </w:r>
          </w:p>
          <w:p>
            <w:pPr>
              <w:pStyle w:val="ListParagraph"/>
              <w:widowControl w:val="false"/>
              <w:numPr>
                <w:ilvl w:val="2"/>
                <w:numId w:val="9"/>
              </w:numPr>
              <w:suppressAutoHyphens w:val="true"/>
              <w:spacing w:before="60" w:after="6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Все отделочные и закрепляющие строчки не должны быть прерваны или рассечены по лицевой стороне.</w:t>
            </w:r>
          </w:p>
          <w:p>
            <w:pPr>
              <w:pStyle w:val="ListParagraph"/>
              <w:widowControl w:val="false"/>
              <w:numPr>
                <w:ilvl w:val="2"/>
                <w:numId w:val="9"/>
              </w:numPr>
              <w:suppressAutoHyphens w:val="true"/>
              <w:spacing w:before="60" w:after="6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Количество стежков и виды применяемых строчек при пошиве изделия должны соответствовать ГОСТ 12807-2003 и ГОСТ 29122-91.</w:t>
            </w:r>
          </w:p>
          <w:p>
            <w:pPr>
              <w:pStyle w:val="ListParagraph"/>
              <w:widowControl w:val="false"/>
              <w:numPr>
                <w:ilvl w:val="2"/>
                <w:numId w:val="9"/>
              </w:numPr>
              <w:suppressAutoHyphens w:val="true"/>
              <w:spacing w:before="60" w:after="6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Изделие должно быть укомплектовано запасной пуговицей и лоскутом (-тами) ткани 10*10 см для ремонта изделия.</w:t>
            </w:r>
          </w:p>
          <w:p>
            <w:pPr>
              <w:pStyle w:val="ListParagraph"/>
              <w:widowControl w:val="false"/>
              <w:numPr>
                <w:ilvl w:val="2"/>
                <w:numId w:val="9"/>
              </w:numPr>
              <w:suppressAutoHyphens w:val="true"/>
              <w:spacing w:before="60" w:after="6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Фурнитура (нитки, пуговицы, молнии) должна быть устойчива к воздействию пониженных температур, химической чистке, тепловой обработке.</w:t>
            </w:r>
          </w:p>
          <w:p>
            <w:pPr>
              <w:pStyle w:val="ListParagraph"/>
              <w:widowControl w:val="false"/>
              <w:numPr>
                <w:ilvl w:val="2"/>
                <w:numId w:val="9"/>
              </w:numPr>
              <w:suppressAutoHyphens w:val="true"/>
              <w:spacing w:before="60" w:after="6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На изделиях должны отсутствовать лишние нитки (ровный шов, обрезанные нитки), также не допускается сваливание строчек с края деталей или пропуск стежков.</w:t>
            </w:r>
          </w:p>
          <w:p>
            <w:pPr>
              <w:pStyle w:val="ListParagraph"/>
              <w:widowControl w:val="false"/>
              <w:numPr>
                <w:ilvl w:val="2"/>
                <w:numId w:val="9"/>
              </w:numPr>
              <w:suppressAutoHyphens w:val="true"/>
              <w:spacing w:before="60" w:after="6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Утеплитель должен быть качественно пришит, локально прилегать.</w:t>
            </w:r>
          </w:p>
          <w:p>
            <w:pPr>
              <w:pStyle w:val="ListParagraph"/>
              <w:widowControl w:val="false"/>
              <w:numPr>
                <w:ilvl w:val="2"/>
                <w:numId w:val="9"/>
              </w:numPr>
              <w:suppressAutoHyphens w:val="true"/>
              <w:spacing w:before="60" w:after="6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Должно отсутствовать вспучивание полимерных покрытий. </w:t>
            </w:r>
          </w:p>
        </w:tc>
        <w:tc>
          <w:tcPr>
            <w:tcW w:w="2012" w:type="dxa"/>
            <w:tcBorders/>
            <w:shd w:color="auto" w:fill="auto" w:val="clear"/>
          </w:tcPr>
          <w:p>
            <w:pPr>
              <w:pStyle w:val="Normal"/>
              <w:widowControl w:val="false"/>
              <w:suppressAutoHyphens w:val="true"/>
              <w:spacing w:before="0" w:after="0"/>
              <w:jc w:val="center"/>
              <w:rPr>
                <w:i/>
                <w:i/>
                <w:sz w:val="24"/>
                <w:szCs w:val="24"/>
              </w:rPr>
            </w:pPr>
            <w:r>
              <w:rPr>
                <w:rFonts w:eastAsia="Times New Roman" w:cs="Times New Roman"/>
                <w:i/>
                <w:kern w:val="0"/>
                <w:sz w:val="24"/>
                <w:szCs w:val="24"/>
                <w:lang w:val="ru-RU" w:eastAsia="ru-RU" w:bidi="ar-SA"/>
              </w:rPr>
              <w:t>Согласие с требованием</w:t>
            </w:r>
          </w:p>
        </w:tc>
        <w:tc>
          <w:tcPr>
            <w:tcW w:w="2331" w:type="dxa"/>
            <w:tcBorders/>
            <w:shd w:color="auto" w:fill="auto" w:val="clear"/>
          </w:tcPr>
          <w:p>
            <w:pPr>
              <w:pStyle w:val="Normal"/>
              <w:widowControl w:val="false"/>
              <w:suppressAutoHyphens w:val="true"/>
              <w:spacing w:before="0" w:after="0"/>
              <w:jc w:val="center"/>
              <w:rPr>
                <w:sz w:val="24"/>
                <w:szCs w:val="24"/>
              </w:rPr>
            </w:pPr>
            <w:r>
              <w:rPr>
                <w:rFonts w:eastAsia="Times New Roman" w:cs="Times New Roman"/>
                <w:kern w:val="0"/>
                <w:sz w:val="24"/>
                <w:szCs w:val="24"/>
                <w:lang w:val="ru-RU" w:eastAsia="ru-RU" w:bidi="ar-SA"/>
              </w:rPr>
              <w:t xml:space="preserve">– </w:t>
            </w:r>
          </w:p>
        </w:tc>
      </w:tr>
      <w:tr>
        <w:trPr/>
        <w:tc>
          <w:tcPr>
            <w:tcW w:w="889" w:type="dxa"/>
            <w:tcBorders/>
          </w:tcPr>
          <w:p>
            <w:pPr>
              <w:pStyle w:val="ListParagraph"/>
              <w:widowControl w:val="false"/>
              <w:numPr>
                <w:ilvl w:val="1"/>
                <w:numId w:val="9"/>
              </w:numPr>
              <w:suppressAutoHyphens w:val="true"/>
              <w:spacing w:before="60" w:after="60"/>
              <w:ind w:left="-117" w:firstLine="142"/>
              <w:contextualSpacing/>
              <w:jc w:val="left"/>
              <w:rPr>
                <w:rFonts w:ascii="Times New Roman" w:hAnsi="Times New Roman" w:cs="Times New Roman"/>
                <w:kern w:val="0"/>
                <w:lang w:val="ru-RU" w:eastAsia="ru-RU" w:bidi="ar-SA"/>
              </w:rPr>
            </w:pPr>
            <w:r>
              <w:rPr>
                <w:rFonts w:cs="Times New Roman"/>
                <w:kern w:val="0"/>
                <w:lang w:val="ru-RU" w:eastAsia="ru-RU" w:bidi="ar-SA"/>
              </w:rPr>
            </w:r>
          </w:p>
        </w:tc>
        <w:tc>
          <w:tcPr>
            <w:tcW w:w="1980" w:type="dxa"/>
            <w:tcBorders/>
            <w:shd w:color="auto" w:fill="auto" w:val="clear"/>
          </w:tcPr>
          <w:p>
            <w:pPr>
              <w:pStyle w:val="Normal"/>
              <w:widowControl w:val="false"/>
              <w:suppressAutoHyphens w:val="true"/>
              <w:spacing w:before="0" w:after="0"/>
              <w:jc w:val="left"/>
              <w:rPr>
                <w:sz w:val="24"/>
                <w:szCs w:val="24"/>
              </w:rPr>
            </w:pPr>
            <w:r>
              <w:rPr>
                <w:rFonts w:eastAsia="Times New Roman" w:cs="Times New Roman"/>
                <w:kern w:val="0"/>
                <w:sz w:val="24"/>
                <w:szCs w:val="24"/>
                <w:lang w:val="ru-RU" w:eastAsia="ru-RU" w:bidi="ar-SA"/>
              </w:rPr>
              <w:t>Требования к маркированию</w:t>
            </w:r>
          </w:p>
        </w:tc>
        <w:tc>
          <w:tcPr>
            <w:tcW w:w="8313" w:type="dxa"/>
            <w:tcBorders/>
            <w:shd w:color="auto" w:fill="auto" w:val="clear"/>
            <w:vAlign w:val="center"/>
          </w:tcPr>
          <w:p>
            <w:pPr>
              <w:pStyle w:val="ListParagraph"/>
              <w:widowControl w:val="false"/>
              <w:numPr>
                <w:ilvl w:val="2"/>
                <w:numId w:val="9"/>
              </w:numPr>
              <w:suppressAutoHyphens w:val="true"/>
              <w:spacing w:before="0" w:after="0"/>
              <w:ind w:left="0" w:hanging="0"/>
              <w:contextualSpacing/>
              <w:jc w:val="both"/>
              <w:rPr>
                <w:color w:val="000000"/>
              </w:rPr>
            </w:pPr>
            <w:r>
              <w:rPr>
                <w:rFonts w:cs="Times New Roman"/>
                <w:color w:val="000000"/>
                <w:kern w:val="0"/>
                <w:lang w:val="ru-RU" w:eastAsia="ru-RU" w:bidi="ar-SA"/>
              </w:rPr>
              <w:t>Маркировка СИЗ должна соответствовать следующим требованиям:</w:t>
            </w:r>
          </w:p>
          <w:p>
            <w:pPr>
              <w:pStyle w:val="Normal"/>
              <w:widowControl w:val="false"/>
              <w:tabs>
                <w:tab w:val="clear" w:pos="720"/>
                <w:tab w:val="left" w:pos="0" w:leader="none"/>
                <w:tab w:val="left" w:pos="1560" w:leader="none"/>
              </w:tabs>
              <w:suppressAutoHyphens w:val="true"/>
              <w:spacing w:before="0" w:after="0"/>
              <w:jc w:val="both"/>
              <w:rPr>
                <w:rFonts w:eastAsia="Calibri"/>
                <w:color w:val="000000"/>
                <w:sz w:val="24"/>
                <w:szCs w:val="24"/>
              </w:rPr>
            </w:pPr>
            <w:r>
              <w:rPr>
                <w:rFonts w:eastAsia="Calibri" w:cs="Times New Roman"/>
                <w:color w:val="000000"/>
                <w:kern w:val="0"/>
                <w:sz w:val="24"/>
                <w:szCs w:val="24"/>
                <w:lang w:val="ru-RU" w:eastAsia="ru-RU" w:bidi="ar-SA"/>
              </w:rPr>
              <w:t>1.5.1.1. Каждая единица СИЗ, включая сменные комплектующие изделия, должна иметь маркировку. Маркировка наносится непосредственно на изделие и на его упаковку.</w:t>
            </w:r>
          </w:p>
          <w:p>
            <w:pPr>
              <w:pStyle w:val="Normal"/>
              <w:widowControl w:val="false"/>
              <w:tabs>
                <w:tab w:val="clear" w:pos="720"/>
                <w:tab w:val="left" w:pos="0" w:leader="none"/>
                <w:tab w:val="left" w:pos="1560" w:leader="none"/>
              </w:tabs>
              <w:suppressAutoHyphens w:val="true"/>
              <w:spacing w:before="0" w:after="0"/>
              <w:jc w:val="both"/>
              <w:rPr>
                <w:rFonts w:eastAsia="Calibri"/>
                <w:color w:val="000000"/>
                <w:sz w:val="24"/>
                <w:szCs w:val="24"/>
              </w:rPr>
            </w:pPr>
            <w:r>
              <w:rPr>
                <w:rFonts w:eastAsia="Calibri" w:cs="Times New Roman"/>
                <w:color w:val="000000"/>
                <w:kern w:val="0"/>
                <w:sz w:val="24"/>
                <w:szCs w:val="24"/>
                <w:lang w:val="ru-RU" w:eastAsia="ru-RU" w:bidi="ar-SA"/>
              </w:rPr>
              <w:t>Если маркировку невозможно нанести непосредственно на изделие, она наносится на трудноудаляемую этикетку, прикрепленную к изделию. При отсутствии возможности нанесения маркировки в полном объеме непосредственно на само изделие, допускается не наносить часть информации в маркировке, при условии, что соответствующая информация нанесена на индивидуальную упаковку изделия и на прикрепленную к изделию трудноудаляемую этикетку.</w:t>
            </w:r>
          </w:p>
          <w:p>
            <w:pPr>
              <w:pStyle w:val="Normal"/>
              <w:widowControl w:val="false"/>
              <w:tabs>
                <w:tab w:val="clear" w:pos="720"/>
                <w:tab w:val="left" w:pos="0" w:leader="none"/>
                <w:tab w:val="left" w:pos="1560" w:leader="none"/>
              </w:tabs>
              <w:suppressAutoHyphens w:val="true"/>
              <w:spacing w:before="0" w:after="0"/>
              <w:jc w:val="both"/>
              <w:rPr>
                <w:rFonts w:eastAsia="Calibri"/>
                <w:color w:val="000000"/>
                <w:sz w:val="24"/>
                <w:szCs w:val="24"/>
              </w:rPr>
            </w:pPr>
            <w:r>
              <w:rPr>
                <w:rFonts w:eastAsia="Calibri" w:cs="Times New Roman"/>
                <w:color w:val="000000"/>
                <w:kern w:val="0"/>
                <w:sz w:val="24"/>
                <w:szCs w:val="24"/>
                <w:lang w:val="ru-RU" w:eastAsia="ru-RU" w:bidi="ar-SA"/>
              </w:rPr>
              <w:t xml:space="preserve">1.5.1.2. Маркировка, наносимая </w:t>
            </w:r>
            <w:r>
              <w:rPr>
                <w:rFonts w:eastAsia="Calibri" w:cs="Times New Roman"/>
                <w:i/>
                <w:color w:val="000000"/>
                <w:kern w:val="0"/>
                <w:sz w:val="24"/>
                <w:szCs w:val="24"/>
                <w:lang w:val="ru-RU" w:eastAsia="ru-RU" w:bidi="ar-SA"/>
              </w:rPr>
              <w:t>непосредственно</w:t>
            </w:r>
            <w:r>
              <w:rPr>
                <w:rFonts w:eastAsia="Calibri" w:cs="Times New Roman"/>
                <w:color w:val="000000"/>
                <w:kern w:val="0"/>
                <w:sz w:val="24"/>
                <w:szCs w:val="24"/>
                <w:lang w:val="ru-RU" w:eastAsia="ru-RU" w:bidi="ar-SA"/>
              </w:rPr>
              <w:t xml:space="preserve"> </w:t>
            </w:r>
            <w:r>
              <w:rPr>
                <w:rFonts w:eastAsia="Calibri" w:cs="Times New Roman"/>
                <w:i/>
                <w:color w:val="000000"/>
                <w:kern w:val="0"/>
                <w:sz w:val="24"/>
                <w:szCs w:val="24"/>
                <w:lang w:val="ru-RU" w:eastAsia="ru-RU" w:bidi="ar-SA"/>
              </w:rPr>
              <w:t>на изделие</w:t>
            </w:r>
            <w:r>
              <w:rPr>
                <w:rFonts w:eastAsia="Calibri" w:cs="Times New Roman"/>
                <w:color w:val="000000"/>
                <w:kern w:val="0"/>
                <w:sz w:val="24"/>
                <w:szCs w:val="24"/>
                <w:lang w:val="ru-RU" w:eastAsia="ru-RU" w:bidi="ar-SA"/>
              </w:rPr>
              <w:t xml:space="preserve"> или на трудноудаляемую этикетку, прикрепленную к изделию, должна содержать:</w:t>
            </w:r>
          </w:p>
          <w:p>
            <w:pPr>
              <w:pStyle w:val="ListParagraph"/>
              <w:widowControl w:val="false"/>
              <w:numPr>
                <w:ilvl w:val="0"/>
                <w:numId w:val="10"/>
              </w:numPr>
              <w:tabs>
                <w:tab w:val="clear" w:pos="720"/>
                <w:tab w:val="left" w:pos="0" w:leader="none"/>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наименование изделия (при наличии – наименование модели, кода, артикула);</w:t>
            </w:r>
          </w:p>
          <w:p>
            <w:pPr>
              <w:pStyle w:val="ListParagraph"/>
              <w:widowControl w:val="false"/>
              <w:numPr>
                <w:ilvl w:val="0"/>
                <w:numId w:val="10"/>
              </w:numPr>
              <w:tabs>
                <w:tab w:val="clear" w:pos="720"/>
                <w:tab w:val="left" w:pos="0" w:leader="none"/>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наименование изготовителя и (или) его товарный знак (при наличии);</w:t>
            </w:r>
          </w:p>
          <w:p>
            <w:pPr>
              <w:pStyle w:val="ListParagraph"/>
              <w:widowControl w:val="false"/>
              <w:numPr>
                <w:ilvl w:val="0"/>
                <w:numId w:val="10"/>
              </w:numPr>
              <w:tabs>
                <w:tab w:val="clear" w:pos="720"/>
                <w:tab w:val="left" w:pos="0" w:leader="none"/>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защитные свойства;</w:t>
            </w:r>
          </w:p>
          <w:p>
            <w:pPr>
              <w:pStyle w:val="ListParagraph"/>
              <w:widowControl w:val="false"/>
              <w:numPr>
                <w:ilvl w:val="0"/>
                <w:numId w:val="10"/>
              </w:numPr>
              <w:tabs>
                <w:tab w:val="clear" w:pos="720"/>
                <w:tab w:val="left" w:pos="0" w:leader="none"/>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размер (при наличии);</w:t>
            </w:r>
          </w:p>
          <w:p>
            <w:pPr>
              <w:pStyle w:val="ListParagraph"/>
              <w:widowControl w:val="false"/>
              <w:numPr>
                <w:ilvl w:val="0"/>
                <w:numId w:val="10"/>
              </w:numPr>
              <w:tabs>
                <w:tab w:val="clear" w:pos="720"/>
                <w:tab w:val="left" w:pos="0" w:leader="none"/>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обозначение ТР ТС 019/2011, требованиям которого должно соответствовать СИЗ;</w:t>
            </w:r>
          </w:p>
          <w:p>
            <w:pPr>
              <w:pStyle w:val="ListParagraph"/>
              <w:widowControl w:val="false"/>
              <w:numPr>
                <w:ilvl w:val="0"/>
                <w:numId w:val="10"/>
              </w:numPr>
              <w:tabs>
                <w:tab w:val="clear" w:pos="720"/>
                <w:tab w:val="left" w:pos="0" w:leader="none"/>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единый знак обращения продукции на рынке государств – членов Таможенного союза;</w:t>
            </w:r>
          </w:p>
          <w:p>
            <w:pPr>
              <w:pStyle w:val="ListParagraph"/>
              <w:widowControl w:val="false"/>
              <w:numPr>
                <w:ilvl w:val="0"/>
                <w:numId w:val="10"/>
              </w:numPr>
              <w:tabs>
                <w:tab w:val="clear" w:pos="720"/>
                <w:tab w:val="left" w:pos="0" w:leader="none"/>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дату (месяц, год) изготовления или дату окончания срока годности, если она установлена;</w:t>
            </w:r>
          </w:p>
          <w:p>
            <w:pPr>
              <w:pStyle w:val="ListParagraph"/>
              <w:widowControl w:val="false"/>
              <w:numPr>
                <w:ilvl w:val="0"/>
                <w:numId w:val="10"/>
              </w:numPr>
              <w:tabs>
                <w:tab w:val="clear" w:pos="720"/>
                <w:tab w:val="left" w:pos="0" w:leader="none"/>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сведения о классе защиты и климатическом поясе, определяемом в соответствии с таблицей 3 приложения № 3 к ТР ТС 019/2011 и в котором могут применяться СИЗ (при необходимости);</w:t>
            </w:r>
          </w:p>
          <w:p>
            <w:pPr>
              <w:pStyle w:val="ListParagraph"/>
              <w:widowControl w:val="false"/>
              <w:numPr>
                <w:ilvl w:val="0"/>
                <w:numId w:val="10"/>
              </w:numPr>
              <w:tabs>
                <w:tab w:val="clear" w:pos="720"/>
                <w:tab w:val="left" w:pos="0" w:leader="none"/>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сведения о способах ухода и требованиях к утилизации СИЗ;</w:t>
            </w:r>
          </w:p>
          <w:p>
            <w:pPr>
              <w:pStyle w:val="ListParagraph"/>
              <w:widowControl w:val="false"/>
              <w:numPr>
                <w:ilvl w:val="0"/>
                <w:numId w:val="10"/>
              </w:numPr>
              <w:tabs>
                <w:tab w:val="clear" w:pos="720"/>
                <w:tab w:val="left" w:pos="0" w:leader="none"/>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сведения о документе, в соответствии с которым изготовлено СИЗ;</w:t>
            </w:r>
          </w:p>
          <w:p>
            <w:pPr>
              <w:pStyle w:val="ListParagraph"/>
              <w:widowControl w:val="false"/>
              <w:numPr>
                <w:ilvl w:val="0"/>
                <w:numId w:val="10"/>
              </w:numPr>
              <w:tabs>
                <w:tab w:val="clear" w:pos="720"/>
                <w:tab w:val="left" w:pos="0" w:leader="none"/>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другую информацию в соответствии с документацией изготовителя;</w:t>
            </w:r>
          </w:p>
          <w:p>
            <w:pPr>
              <w:pStyle w:val="Normal"/>
              <w:widowControl w:val="false"/>
              <w:tabs>
                <w:tab w:val="clear" w:pos="720"/>
                <w:tab w:val="left" w:pos="0" w:leader="none"/>
                <w:tab w:val="left" w:pos="1560" w:leader="none"/>
              </w:tabs>
              <w:suppressAutoHyphens w:val="true"/>
              <w:spacing w:before="0" w:after="0"/>
              <w:jc w:val="both"/>
              <w:rPr>
                <w:rFonts w:eastAsia="Calibri"/>
                <w:color w:val="000000"/>
                <w:sz w:val="24"/>
                <w:szCs w:val="24"/>
              </w:rPr>
            </w:pPr>
            <w:r>
              <w:rPr>
                <w:rFonts w:eastAsia="Calibri" w:cs="Times New Roman"/>
                <w:color w:val="000000"/>
                <w:kern w:val="0"/>
                <w:sz w:val="24"/>
                <w:szCs w:val="24"/>
                <w:lang w:val="ru-RU" w:eastAsia="ru-RU" w:bidi="ar-SA"/>
              </w:rPr>
              <w:t>1.5.1.3. Информация должна наноситься любым рельефным способом (в том числе тиснение, шелкография, гравировка, литье, штамповка) либо трудноудаляемой краской непосредственно на изделие или на трудноудаляемую этикетку, прикрепленную к изделию. Допускается нанесение информации в виде пиктограмм, которые могут использоваться в качестве указателей опасности или области применения СИЗ. Информация должна быть легко читаемой, стойкой при хранении, перевозке, реализации и использовании продукции по назначению в течение всего срока годности, срока службы и (или) гарантийного срока хранения;</w:t>
            </w:r>
          </w:p>
          <w:p>
            <w:pPr>
              <w:pStyle w:val="Normal"/>
              <w:widowControl w:val="false"/>
              <w:suppressAutoHyphens w:val="true"/>
              <w:spacing w:before="0" w:after="0"/>
              <w:jc w:val="both"/>
              <w:rPr>
                <w:rFonts w:eastAsia="Calibri"/>
                <w:color w:val="000000"/>
                <w:sz w:val="24"/>
                <w:szCs w:val="24"/>
              </w:rPr>
            </w:pPr>
            <w:r>
              <w:rPr>
                <w:rFonts w:eastAsia="Calibri" w:cs="Times New Roman"/>
                <w:color w:val="000000"/>
                <w:kern w:val="0"/>
                <w:sz w:val="24"/>
                <w:szCs w:val="24"/>
                <w:lang w:val="ru-RU" w:eastAsia="ru-RU" w:bidi="ar-SA"/>
              </w:rPr>
              <w:t xml:space="preserve">1.5.1.4. Маркировка, наносимая на </w:t>
            </w:r>
            <w:r>
              <w:rPr>
                <w:rFonts w:eastAsia="Calibri" w:cs="Times New Roman"/>
                <w:i/>
                <w:color w:val="000000"/>
                <w:kern w:val="0"/>
                <w:sz w:val="24"/>
                <w:szCs w:val="24"/>
                <w:lang w:val="ru-RU" w:eastAsia="ru-RU" w:bidi="ar-SA"/>
              </w:rPr>
              <w:t>упаковку изделия</w:t>
            </w:r>
            <w:r>
              <w:rPr>
                <w:rFonts w:eastAsia="Calibri" w:cs="Times New Roman"/>
                <w:color w:val="000000"/>
                <w:kern w:val="0"/>
                <w:sz w:val="24"/>
                <w:szCs w:val="24"/>
                <w:lang w:val="ru-RU" w:eastAsia="ru-RU" w:bidi="ar-SA"/>
              </w:rPr>
              <w:t xml:space="preserve">, должна содержать: </w:t>
            </w:r>
          </w:p>
          <w:p>
            <w:pPr>
              <w:pStyle w:val="ListParagraph"/>
              <w:widowControl w:val="false"/>
              <w:numPr>
                <w:ilvl w:val="0"/>
                <w:numId w:val="11"/>
              </w:numPr>
              <w:tabs>
                <w:tab w:val="clear" w:pos="720"/>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наименование изделия (при наличии – наименование модели, кода, артикула);</w:t>
            </w:r>
          </w:p>
          <w:p>
            <w:pPr>
              <w:pStyle w:val="ListParagraph"/>
              <w:widowControl w:val="false"/>
              <w:numPr>
                <w:ilvl w:val="0"/>
                <w:numId w:val="11"/>
              </w:numPr>
              <w:tabs>
                <w:tab w:val="clear" w:pos="720"/>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наименование страны-изготовителя;</w:t>
            </w:r>
          </w:p>
          <w:p>
            <w:pPr>
              <w:pStyle w:val="ListParagraph"/>
              <w:widowControl w:val="false"/>
              <w:numPr>
                <w:ilvl w:val="0"/>
                <w:numId w:val="11"/>
              </w:numPr>
              <w:tabs>
                <w:tab w:val="clear" w:pos="720"/>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наименование, юридический адрес и торговую марку (при наличии) изготовителя;</w:t>
            </w:r>
          </w:p>
          <w:p>
            <w:pPr>
              <w:pStyle w:val="ListParagraph"/>
              <w:widowControl w:val="false"/>
              <w:numPr>
                <w:ilvl w:val="0"/>
                <w:numId w:val="11"/>
              </w:numPr>
              <w:tabs>
                <w:tab w:val="clear" w:pos="720"/>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обозначение ТР ТС 019/2011, требованиям которого должно соответствовать СИЗ;</w:t>
            </w:r>
          </w:p>
          <w:p>
            <w:pPr>
              <w:pStyle w:val="ListParagraph"/>
              <w:widowControl w:val="false"/>
              <w:numPr>
                <w:ilvl w:val="0"/>
                <w:numId w:val="11"/>
              </w:numPr>
              <w:tabs>
                <w:tab w:val="clear" w:pos="720"/>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размер (при наличии);</w:t>
            </w:r>
          </w:p>
          <w:p>
            <w:pPr>
              <w:pStyle w:val="ListParagraph"/>
              <w:widowControl w:val="false"/>
              <w:numPr>
                <w:ilvl w:val="0"/>
                <w:numId w:val="11"/>
              </w:numPr>
              <w:tabs>
                <w:tab w:val="clear" w:pos="720"/>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защитные свойства изделия;</w:t>
            </w:r>
          </w:p>
          <w:p>
            <w:pPr>
              <w:pStyle w:val="ListParagraph"/>
              <w:widowControl w:val="false"/>
              <w:numPr>
                <w:ilvl w:val="0"/>
                <w:numId w:val="11"/>
              </w:numPr>
              <w:tabs>
                <w:tab w:val="clear" w:pos="720"/>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способы ухода за изделием (при необходимости);</w:t>
            </w:r>
          </w:p>
          <w:p>
            <w:pPr>
              <w:pStyle w:val="ListParagraph"/>
              <w:widowControl w:val="false"/>
              <w:numPr>
                <w:ilvl w:val="0"/>
                <w:numId w:val="11"/>
              </w:numPr>
              <w:tabs>
                <w:tab w:val="clear" w:pos="720"/>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дату изготовления, и (или) дату окончания срока годности, если установлены;</w:t>
            </w:r>
          </w:p>
          <w:p>
            <w:pPr>
              <w:pStyle w:val="ListParagraph"/>
              <w:widowControl w:val="false"/>
              <w:numPr>
                <w:ilvl w:val="0"/>
                <w:numId w:val="11"/>
              </w:numPr>
              <w:tabs>
                <w:tab w:val="clear" w:pos="720"/>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срок хранения для СИЗ, теряющих защитные свойства в процессе хранения;</w:t>
            </w:r>
          </w:p>
          <w:p>
            <w:pPr>
              <w:pStyle w:val="ListParagraph"/>
              <w:widowControl w:val="false"/>
              <w:numPr>
                <w:ilvl w:val="0"/>
                <w:numId w:val="11"/>
              </w:numPr>
              <w:tabs>
                <w:tab w:val="clear" w:pos="720"/>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единый знак обращения продукции на рынке государств – членов Таможенного союза;</w:t>
            </w:r>
          </w:p>
          <w:p>
            <w:pPr>
              <w:pStyle w:val="ListParagraph"/>
              <w:widowControl w:val="false"/>
              <w:numPr>
                <w:ilvl w:val="0"/>
                <w:numId w:val="11"/>
              </w:numPr>
              <w:tabs>
                <w:tab w:val="clear" w:pos="720"/>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сведения о классе защиты и климатическом поясе, определяемом в соответствии с таблицей 3 приложения № 3 к ТР ТС 019/2011, и в котором могут применяться СИЗ (при необходимости);</w:t>
            </w:r>
          </w:p>
          <w:p>
            <w:pPr>
              <w:pStyle w:val="ListParagraph"/>
              <w:widowControl w:val="false"/>
              <w:numPr>
                <w:ilvl w:val="0"/>
                <w:numId w:val="11"/>
              </w:numPr>
              <w:tabs>
                <w:tab w:val="clear" w:pos="720"/>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сведения о документе, в соответствии с которым изготовлено СИЗ;</w:t>
            </w:r>
          </w:p>
          <w:p>
            <w:pPr>
              <w:pStyle w:val="ListParagraph"/>
              <w:widowControl w:val="false"/>
              <w:numPr>
                <w:ilvl w:val="0"/>
                <w:numId w:val="11"/>
              </w:numPr>
              <w:tabs>
                <w:tab w:val="clear" w:pos="720"/>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другую информацию в соответствии с документацией изготовителя.</w:t>
            </w:r>
          </w:p>
          <w:p>
            <w:pPr>
              <w:pStyle w:val="ListParagraph"/>
              <w:widowControl w:val="false"/>
              <w:numPr>
                <w:ilvl w:val="2"/>
                <w:numId w:val="9"/>
              </w:numPr>
              <w:suppressAutoHyphens w:val="true"/>
              <w:spacing w:before="0" w:after="0"/>
              <w:ind w:left="0" w:hanging="0"/>
              <w:contextualSpacing/>
              <w:jc w:val="both"/>
              <w:rPr>
                <w:color w:val="000000"/>
              </w:rPr>
            </w:pPr>
            <w:r>
              <w:rPr>
                <w:rFonts w:cs="Times New Roman"/>
                <w:color w:val="000000"/>
                <w:kern w:val="0"/>
                <w:lang w:val="ru-RU" w:eastAsia="ru-RU" w:bidi="ar-SA"/>
              </w:rPr>
              <w:t xml:space="preserve">Маркировка и эксплуатационные документы выполняются на официальном и государственном(ых) языке(ах) государства(в) – члена(ов) Таможенного союза, за исключением наименования изготовителя и наименования изделия, а также другого текста, входящего в зарегистрированный товарный знак. Допускается одновременное использование нескольких языков государств – членов Таможенного союза. </w:t>
            </w:r>
          </w:p>
          <w:p>
            <w:pPr>
              <w:pStyle w:val="ListParagraph"/>
              <w:widowControl w:val="false"/>
              <w:numPr>
                <w:ilvl w:val="2"/>
                <w:numId w:val="9"/>
              </w:numPr>
              <w:suppressAutoHyphens w:val="true"/>
              <w:spacing w:before="0" w:after="0"/>
              <w:ind w:left="0" w:hanging="0"/>
              <w:contextualSpacing/>
              <w:jc w:val="both"/>
              <w:rPr>
                <w:color w:val="000000"/>
              </w:rPr>
            </w:pPr>
            <w:r>
              <w:rPr>
                <w:rFonts w:cs="Times New Roman"/>
                <w:color w:val="000000"/>
                <w:kern w:val="0"/>
                <w:lang w:val="ru-RU" w:eastAsia="ru-RU" w:bidi="ar-SA"/>
              </w:rPr>
              <w:t>Маркировка СИЗ должна быть разборчивой, легкочитаемой и нанесена на поверхность продукции (этикетки, упаковки), доступную для осмотра без снятия упаковки, разборки или применения инструментов.</w:t>
            </w:r>
          </w:p>
          <w:p>
            <w:pPr>
              <w:pStyle w:val="ListParagraph"/>
              <w:widowControl w:val="false"/>
              <w:numPr>
                <w:ilvl w:val="2"/>
                <w:numId w:val="9"/>
              </w:numPr>
              <w:suppressAutoHyphens w:val="true"/>
              <w:spacing w:before="0" w:after="0"/>
              <w:ind w:left="0" w:hanging="0"/>
              <w:contextualSpacing/>
              <w:jc w:val="both"/>
              <w:rPr>
                <w:color w:val="000000"/>
              </w:rPr>
            </w:pPr>
            <w:r>
              <w:rPr>
                <w:rFonts w:cs="Times New Roman"/>
                <w:color w:val="000000"/>
                <w:kern w:val="0"/>
                <w:lang w:val="ru-RU" w:eastAsia="ru-RU" w:bidi="ar-SA"/>
              </w:rPr>
              <w:t>Обувь должна быть промаркирована средством идентификации в соответствии с постановлением Правительства Российской Федерации от 05.07.2019 № 860 «Об утверждении Правил маркировки обувных товаров средствами идентификации и особенностях внедрения государственной информационной системы мониторинга за оборотом товаров, подлежащих обязательной маркировке средствами идентификации, в отношении обувных товаров».</w:t>
            </w:r>
          </w:p>
          <w:p>
            <w:pPr>
              <w:pStyle w:val="ListParagraph"/>
              <w:widowControl w:val="false"/>
              <w:numPr>
                <w:ilvl w:val="2"/>
                <w:numId w:val="9"/>
              </w:numPr>
              <w:suppressAutoHyphens w:val="true"/>
              <w:spacing w:before="0" w:after="0"/>
              <w:ind w:left="0" w:hanging="0"/>
              <w:contextualSpacing/>
              <w:jc w:val="both"/>
              <w:rPr>
                <w:color w:val="000000"/>
              </w:rPr>
            </w:pPr>
            <w:r>
              <w:rPr>
                <w:rFonts w:cs="Times New Roman"/>
                <w:color w:val="000000"/>
                <w:kern w:val="0"/>
                <w:lang w:val="ru-RU" w:eastAsia="ru-RU" w:bidi="ar-SA"/>
              </w:rPr>
              <w:t>Указания по эксплуатации СИЗ включаются в эксплуатационную документацию на СИЗ и должны содержать:</w:t>
            </w:r>
          </w:p>
          <w:p>
            <w:pPr>
              <w:pStyle w:val="ListParagraph"/>
              <w:widowControl w:val="false"/>
              <w:numPr>
                <w:ilvl w:val="0"/>
                <w:numId w:val="12"/>
              </w:numPr>
              <w:tabs>
                <w:tab w:val="clear" w:pos="720"/>
                <w:tab w:val="left" w:pos="0" w:leader="none"/>
                <w:tab w:val="left" w:pos="1219" w:leader="none"/>
              </w:tabs>
              <w:suppressAutoHyphens w:val="true"/>
              <w:spacing w:before="0" w:after="0"/>
              <w:ind w:left="-64" w:firstLine="283"/>
              <w:contextualSpacing/>
              <w:jc w:val="both"/>
              <w:rPr>
                <w:color w:val="000000"/>
              </w:rPr>
            </w:pPr>
            <w:r>
              <w:rPr>
                <w:rFonts w:cs="Times New Roman"/>
                <w:color w:val="000000"/>
                <w:kern w:val="0"/>
                <w:lang w:val="ru-RU" w:eastAsia="ru-RU" w:bidi="ar-SA"/>
              </w:rPr>
              <w:t>область применения;</w:t>
            </w:r>
          </w:p>
          <w:p>
            <w:pPr>
              <w:pStyle w:val="ListParagraph"/>
              <w:widowControl w:val="false"/>
              <w:numPr>
                <w:ilvl w:val="0"/>
                <w:numId w:val="12"/>
              </w:numPr>
              <w:tabs>
                <w:tab w:val="clear" w:pos="720"/>
                <w:tab w:val="left" w:pos="0" w:leader="none"/>
                <w:tab w:val="left" w:pos="1219" w:leader="none"/>
              </w:tabs>
              <w:suppressAutoHyphens w:val="true"/>
              <w:spacing w:before="0" w:after="0"/>
              <w:ind w:left="226" w:hanging="0"/>
              <w:contextualSpacing/>
              <w:jc w:val="both"/>
              <w:rPr>
                <w:color w:val="000000"/>
              </w:rPr>
            </w:pPr>
            <w:r>
              <w:rPr>
                <w:rFonts w:cs="Times New Roman"/>
                <w:color w:val="000000"/>
                <w:kern w:val="0"/>
                <w:lang w:val="ru-RU" w:eastAsia="ru-RU" w:bidi="ar-SA"/>
              </w:rPr>
              <w:t>ограничения применения СИЗ по факторам воздействия;</w:t>
            </w:r>
          </w:p>
          <w:p>
            <w:pPr>
              <w:pStyle w:val="ListParagraph"/>
              <w:widowControl w:val="false"/>
              <w:numPr>
                <w:ilvl w:val="0"/>
                <w:numId w:val="12"/>
              </w:numPr>
              <w:tabs>
                <w:tab w:val="clear" w:pos="720"/>
                <w:tab w:val="left" w:pos="0" w:leader="none"/>
                <w:tab w:val="left" w:pos="1219" w:leader="none"/>
              </w:tabs>
              <w:suppressAutoHyphens w:val="true"/>
              <w:spacing w:before="0" w:after="0"/>
              <w:ind w:left="226" w:hanging="0"/>
              <w:contextualSpacing/>
              <w:jc w:val="both"/>
              <w:rPr>
                <w:color w:val="000000"/>
              </w:rPr>
            </w:pPr>
            <w:r>
              <w:rPr>
                <w:rFonts w:cs="Times New Roman"/>
                <w:color w:val="000000"/>
                <w:kern w:val="0"/>
                <w:lang w:val="ru-RU" w:eastAsia="ru-RU" w:bidi="ar-SA"/>
              </w:rPr>
              <w:t>вид СИЗ согласно приложению 1 к ТР ТС 019/2011;</w:t>
            </w:r>
          </w:p>
          <w:p>
            <w:pPr>
              <w:pStyle w:val="ListParagraph"/>
              <w:widowControl w:val="false"/>
              <w:numPr>
                <w:ilvl w:val="0"/>
                <w:numId w:val="12"/>
              </w:numPr>
              <w:tabs>
                <w:tab w:val="clear" w:pos="720"/>
                <w:tab w:val="left" w:pos="0" w:leader="none"/>
                <w:tab w:val="left" w:pos="1219" w:leader="none"/>
              </w:tabs>
              <w:suppressAutoHyphens w:val="true"/>
              <w:spacing w:before="0" w:after="0"/>
              <w:ind w:left="226" w:hanging="0"/>
              <w:contextualSpacing/>
              <w:jc w:val="both"/>
              <w:rPr>
                <w:color w:val="000000"/>
              </w:rPr>
            </w:pPr>
            <w:r>
              <w:rPr>
                <w:rFonts w:cs="Times New Roman"/>
                <w:color w:val="000000"/>
                <w:kern w:val="0"/>
                <w:lang w:val="ru-RU" w:eastAsia="ru-RU" w:bidi="ar-SA"/>
              </w:rPr>
              <w:t>наименование СИЗ;</w:t>
            </w:r>
          </w:p>
          <w:p>
            <w:pPr>
              <w:pStyle w:val="ListParagraph"/>
              <w:widowControl w:val="false"/>
              <w:numPr>
                <w:ilvl w:val="0"/>
                <w:numId w:val="12"/>
              </w:numPr>
              <w:tabs>
                <w:tab w:val="clear" w:pos="720"/>
                <w:tab w:val="left" w:pos="0" w:leader="none"/>
                <w:tab w:val="left" w:pos="1219" w:leader="none"/>
              </w:tabs>
              <w:suppressAutoHyphens w:val="true"/>
              <w:spacing w:before="0" w:after="0"/>
              <w:ind w:left="226" w:hanging="0"/>
              <w:contextualSpacing/>
              <w:jc w:val="both"/>
              <w:rPr>
                <w:color w:val="000000"/>
              </w:rPr>
            </w:pPr>
            <w:r>
              <w:rPr>
                <w:rFonts w:cs="Times New Roman"/>
                <w:color w:val="000000"/>
                <w:kern w:val="0"/>
                <w:lang w:val="ru-RU" w:eastAsia="ru-RU" w:bidi="ar-SA"/>
              </w:rPr>
              <w:t>сведения о способах безопасного применения СИЗ;</w:t>
            </w:r>
          </w:p>
          <w:p>
            <w:pPr>
              <w:pStyle w:val="ListParagraph"/>
              <w:widowControl w:val="false"/>
              <w:numPr>
                <w:ilvl w:val="0"/>
                <w:numId w:val="12"/>
              </w:numPr>
              <w:tabs>
                <w:tab w:val="clear" w:pos="720"/>
                <w:tab w:val="left" w:pos="0" w:leader="none"/>
                <w:tab w:val="left" w:pos="1219" w:leader="none"/>
              </w:tabs>
              <w:suppressAutoHyphens w:val="true"/>
              <w:spacing w:before="0" w:after="0"/>
              <w:ind w:left="226" w:hanging="0"/>
              <w:contextualSpacing/>
              <w:jc w:val="both"/>
              <w:rPr>
                <w:color w:val="000000"/>
              </w:rPr>
            </w:pPr>
            <w:r>
              <w:rPr>
                <w:rFonts w:cs="Times New Roman"/>
                <w:color w:val="000000"/>
                <w:kern w:val="0"/>
                <w:lang w:val="ru-RU" w:eastAsia="ru-RU" w:bidi="ar-SA"/>
              </w:rPr>
              <w:t>информацию о размере СИЗ в единицах измерения, применяемых в государствах – членах Таможенного союза (при наличии);</w:t>
            </w:r>
          </w:p>
          <w:p>
            <w:pPr>
              <w:pStyle w:val="ListParagraph"/>
              <w:widowControl w:val="false"/>
              <w:numPr>
                <w:ilvl w:val="0"/>
                <w:numId w:val="12"/>
              </w:numPr>
              <w:tabs>
                <w:tab w:val="clear" w:pos="720"/>
                <w:tab w:val="left" w:pos="0" w:leader="none"/>
                <w:tab w:val="left" w:pos="1219" w:leader="none"/>
              </w:tabs>
              <w:suppressAutoHyphens w:val="true"/>
              <w:spacing w:before="0" w:after="0"/>
              <w:ind w:left="226" w:hanging="0"/>
              <w:contextualSpacing/>
              <w:jc w:val="both"/>
              <w:rPr>
                <w:color w:val="000000"/>
              </w:rPr>
            </w:pPr>
            <w:r>
              <w:rPr>
                <w:rFonts w:cs="Times New Roman"/>
                <w:color w:val="000000"/>
                <w:kern w:val="0"/>
                <w:lang w:val="ru-RU" w:eastAsia="ru-RU" w:bidi="ar-SA"/>
              </w:rPr>
              <w:t>правила, условия и сроки хранения СИЗ;</w:t>
            </w:r>
          </w:p>
          <w:p>
            <w:pPr>
              <w:pStyle w:val="ListParagraph"/>
              <w:widowControl w:val="false"/>
              <w:numPr>
                <w:ilvl w:val="0"/>
                <w:numId w:val="12"/>
              </w:numPr>
              <w:tabs>
                <w:tab w:val="clear" w:pos="720"/>
                <w:tab w:val="left" w:pos="0" w:leader="none"/>
                <w:tab w:val="left" w:pos="1219" w:leader="none"/>
              </w:tabs>
              <w:suppressAutoHyphens w:val="true"/>
              <w:spacing w:before="0" w:after="0"/>
              <w:ind w:left="226" w:hanging="0"/>
              <w:contextualSpacing/>
              <w:jc w:val="both"/>
              <w:rPr>
                <w:color w:val="000000"/>
              </w:rPr>
            </w:pPr>
            <w:r>
              <w:rPr>
                <w:rFonts w:cs="Times New Roman"/>
                <w:color w:val="000000"/>
                <w:kern w:val="0"/>
                <w:lang w:val="ru-RU" w:eastAsia="ru-RU" w:bidi="ar-SA"/>
              </w:rPr>
              <w:t>требования к безопасной транспортировке СИЗ (при наличии таких требований);</w:t>
            </w:r>
          </w:p>
          <w:p>
            <w:pPr>
              <w:pStyle w:val="ListParagraph"/>
              <w:widowControl w:val="false"/>
              <w:numPr>
                <w:ilvl w:val="0"/>
                <w:numId w:val="12"/>
              </w:numPr>
              <w:tabs>
                <w:tab w:val="clear" w:pos="720"/>
                <w:tab w:val="left" w:pos="0" w:leader="none"/>
                <w:tab w:val="left" w:pos="1219" w:leader="none"/>
              </w:tabs>
              <w:suppressAutoHyphens w:val="true"/>
              <w:spacing w:before="0" w:after="0"/>
              <w:ind w:left="226" w:hanging="0"/>
              <w:contextualSpacing/>
              <w:jc w:val="both"/>
              <w:rPr>
                <w:color w:val="000000"/>
              </w:rPr>
            </w:pPr>
            <w:r>
              <w:rPr>
                <w:rFonts w:cs="Times New Roman"/>
                <w:color w:val="000000"/>
                <w:kern w:val="0"/>
                <w:lang w:val="ru-RU" w:eastAsia="ru-RU" w:bidi="ar-SA"/>
              </w:rPr>
              <w:t>требования по утилизации СИЗ (при наличии таких требований);</w:t>
            </w:r>
          </w:p>
          <w:p>
            <w:pPr>
              <w:pStyle w:val="ListParagraph"/>
              <w:widowControl w:val="false"/>
              <w:numPr>
                <w:ilvl w:val="0"/>
                <w:numId w:val="12"/>
              </w:numPr>
              <w:tabs>
                <w:tab w:val="clear" w:pos="720"/>
                <w:tab w:val="left" w:pos="0" w:leader="none"/>
                <w:tab w:val="left" w:pos="1219" w:leader="none"/>
              </w:tabs>
              <w:suppressAutoHyphens w:val="true"/>
              <w:spacing w:before="0" w:after="0"/>
              <w:ind w:left="226" w:hanging="0"/>
              <w:contextualSpacing/>
              <w:jc w:val="both"/>
              <w:rPr>
                <w:color w:val="000000"/>
              </w:rPr>
            </w:pPr>
            <w:r>
              <w:rPr>
                <w:rFonts w:cs="Times New Roman"/>
                <w:color w:val="000000"/>
                <w:kern w:val="0"/>
                <w:lang w:val="ru-RU" w:eastAsia="ru-RU" w:bidi="ar-SA"/>
              </w:rPr>
              <w:t>единый знак обращения продукции на рынке государств – членов Таможенного союза;</w:t>
            </w:r>
          </w:p>
          <w:p>
            <w:pPr>
              <w:pStyle w:val="ListParagraph"/>
              <w:widowControl w:val="false"/>
              <w:numPr>
                <w:ilvl w:val="0"/>
                <w:numId w:val="12"/>
              </w:numPr>
              <w:tabs>
                <w:tab w:val="clear" w:pos="720"/>
                <w:tab w:val="left" w:pos="0" w:leader="none"/>
                <w:tab w:val="left" w:pos="1219" w:leader="none"/>
              </w:tabs>
              <w:suppressAutoHyphens w:val="true"/>
              <w:spacing w:before="0" w:after="0"/>
              <w:ind w:left="226" w:hanging="0"/>
              <w:contextualSpacing/>
              <w:jc w:val="both"/>
              <w:rPr>
                <w:color w:val="000000"/>
              </w:rPr>
            </w:pPr>
            <w:r>
              <w:rPr>
                <w:rFonts w:cs="Times New Roman"/>
                <w:color w:val="000000"/>
                <w:kern w:val="0"/>
                <w:lang w:val="ru-RU" w:eastAsia="ru-RU" w:bidi="ar-SA"/>
              </w:rPr>
              <w:t>обозначение ТР ТС 019/2011, требованиям которого должно соответствовать СИЗ;</w:t>
            </w:r>
          </w:p>
          <w:p>
            <w:pPr>
              <w:pStyle w:val="ListParagraph"/>
              <w:widowControl w:val="false"/>
              <w:numPr>
                <w:ilvl w:val="0"/>
                <w:numId w:val="12"/>
              </w:numPr>
              <w:tabs>
                <w:tab w:val="clear" w:pos="720"/>
                <w:tab w:val="left" w:pos="0" w:leader="none"/>
                <w:tab w:val="left" w:pos="1219" w:leader="none"/>
              </w:tabs>
              <w:suppressAutoHyphens w:val="true"/>
              <w:spacing w:before="0" w:after="0"/>
              <w:ind w:left="226" w:hanging="0"/>
              <w:contextualSpacing/>
              <w:jc w:val="both"/>
              <w:rPr>
                <w:color w:val="000000"/>
              </w:rPr>
            </w:pPr>
            <w:r>
              <w:rPr>
                <w:rFonts w:cs="Times New Roman"/>
                <w:color w:val="000000"/>
                <w:kern w:val="0"/>
                <w:lang w:val="ru-RU" w:eastAsia="ru-RU" w:bidi="ar-SA"/>
              </w:rPr>
              <w:t>наименование страны-изготовителя и наименование изготовителя, его юридический адрес;</w:t>
            </w:r>
          </w:p>
          <w:p>
            <w:pPr>
              <w:pStyle w:val="ListParagraph"/>
              <w:widowControl w:val="false"/>
              <w:numPr>
                <w:ilvl w:val="0"/>
                <w:numId w:val="12"/>
              </w:numPr>
              <w:tabs>
                <w:tab w:val="clear" w:pos="720"/>
                <w:tab w:val="left" w:pos="0" w:leader="none"/>
                <w:tab w:val="left" w:pos="1219" w:leader="none"/>
              </w:tabs>
              <w:suppressAutoHyphens w:val="true"/>
              <w:spacing w:before="0" w:after="0"/>
              <w:ind w:left="226" w:hanging="0"/>
              <w:contextualSpacing/>
              <w:jc w:val="both"/>
              <w:rPr>
                <w:color w:val="000000"/>
              </w:rPr>
            </w:pPr>
            <w:r>
              <w:rPr>
                <w:rFonts w:cs="Times New Roman"/>
                <w:color w:val="000000"/>
                <w:kern w:val="0"/>
                <w:lang w:val="ru-RU" w:eastAsia="ru-RU" w:bidi="ar-SA"/>
              </w:rPr>
              <w:t>сведения о документе, в соответствии с которым изготовлено СИЗ;</w:t>
            </w:r>
          </w:p>
          <w:p>
            <w:pPr>
              <w:pStyle w:val="ListParagraph"/>
              <w:widowControl w:val="false"/>
              <w:numPr>
                <w:ilvl w:val="0"/>
                <w:numId w:val="12"/>
              </w:numPr>
              <w:tabs>
                <w:tab w:val="clear" w:pos="720"/>
                <w:tab w:val="left" w:pos="0" w:leader="none"/>
                <w:tab w:val="left" w:pos="1219" w:leader="none"/>
              </w:tabs>
              <w:suppressAutoHyphens w:val="true"/>
              <w:spacing w:before="0" w:after="0"/>
              <w:ind w:left="226" w:hanging="0"/>
              <w:contextualSpacing/>
              <w:jc w:val="both"/>
              <w:rPr>
                <w:color w:val="000000"/>
              </w:rPr>
            </w:pPr>
            <w:r>
              <w:rPr>
                <w:rFonts w:cs="Times New Roman"/>
                <w:color w:val="000000"/>
                <w:kern w:val="0"/>
                <w:lang w:val="ru-RU" w:eastAsia="ru-RU" w:bidi="ar-SA"/>
              </w:rPr>
              <w:t>дату изготовления и / или срок хранения или дату истечения срока годности, если они установлены, допускается указание срока хранения с обязательным указанием информации о месте нанесения и способе определения даты изготовления или окончания срока хранения;</w:t>
            </w:r>
          </w:p>
          <w:p>
            <w:pPr>
              <w:pStyle w:val="ListParagraph"/>
              <w:widowControl w:val="false"/>
              <w:numPr>
                <w:ilvl w:val="0"/>
                <w:numId w:val="12"/>
              </w:numPr>
              <w:tabs>
                <w:tab w:val="clear" w:pos="720"/>
                <w:tab w:val="left" w:pos="0" w:leader="none"/>
                <w:tab w:val="left" w:pos="1219" w:leader="none"/>
              </w:tabs>
              <w:suppressAutoHyphens w:val="true"/>
              <w:spacing w:before="0" w:after="0"/>
              <w:ind w:left="226" w:hanging="0"/>
              <w:contextualSpacing/>
              <w:jc w:val="both"/>
              <w:rPr>
                <w:color w:val="000000"/>
              </w:rPr>
            </w:pPr>
            <w:r>
              <w:rPr>
                <w:rFonts w:cs="Times New Roman"/>
                <w:color w:val="000000"/>
                <w:kern w:val="0"/>
                <w:lang w:val="ru-RU" w:eastAsia="ru-RU" w:bidi="ar-SA"/>
              </w:rPr>
              <w:t>гарантии изготовителя при использовании изделия по назначению.</w:t>
            </w:r>
          </w:p>
        </w:tc>
        <w:tc>
          <w:tcPr>
            <w:tcW w:w="2012" w:type="dxa"/>
            <w:tcBorders/>
            <w:shd w:color="auto" w:fill="auto" w:val="clear"/>
          </w:tcPr>
          <w:p>
            <w:pPr>
              <w:pStyle w:val="Normal"/>
              <w:widowControl w:val="false"/>
              <w:suppressAutoHyphens w:val="true"/>
              <w:spacing w:before="0" w:after="0"/>
              <w:jc w:val="center"/>
              <w:rPr>
                <w:i/>
                <w:i/>
                <w:sz w:val="24"/>
                <w:szCs w:val="24"/>
              </w:rPr>
            </w:pPr>
            <w:r>
              <w:rPr>
                <w:rFonts w:eastAsia="Times New Roman" w:cs="Times New Roman"/>
                <w:i/>
                <w:kern w:val="0"/>
                <w:sz w:val="24"/>
                <w:szCs w:val="24"/>
                <w:lang w:val="ru-RU" w:eastAsia="ru-RU" w:bidi="ar-SA"/>
              </w:rPr>
              <w:t>Согласие с требованием</w:t>
            </w:r>
          </w:p>
        </w:tc>
        <w:tc>
          <w:tcPr>
            <w:tcW w:w="2331" w:type="dxa"/>
            <w:tcBorders/>
            <w:shd w:color="auto" w:fill="auto" w:val="clear"/>
          </w:tcPr>
          <w:p>
            <w:pPr>
              <w:pStyle w:val="Normal"/>
              <w:widowControl w:val="false"/>
              <w:suppressAutoHyphens w:val="true"/>
              <w:spacing w:before="0" w:after="0"/>
              <w:jc w:val="center"/>
              <w:rPr>
                <w:sz w:val="24"/>
                <w:szCs w:val="24"/>
              </w:rPr>
            </w:pPr>
            <w:r>
              <w:rPr>
                <w:rFonts w:eastAsia="Times New Roman" w:cs="Times New Roman"/>
                <w:kern w:val="0"/>
                <w:sz w:val="24"/>
                <w:szCs w:val="24"/>
                <w:lang w:val="ru-RU" w:eastAsia="ru-RU" w:bidi="ar-SA"/>
              </w:rPr>
              <w:t xml:space="preserve">– </w:t>
            </w:r>
          </w:p>
        </w:tc>
      </w:tr>
      <w:tr>
        <w:trPr/>
        <w:tc>
          <w:tcPr>
            <w:tcW w:w="889" w:type="dxa"/>
            <w:tcBorders/>
          </w:tcPr>
          <w:p>
            <w:pPr>
              <w:pStyle w:val="ListParagraph"/>
              <w:widowControl w:val="false"/>
              <w:numPr>
                <w:ilvl w:val="1"/>
                <w:numId w:val="9"/>
              </w:numPr>
              <w:suppressAutoHyphens w:val="true"/>
              <w:spacing w:before="60" w:after="60"/>
              <w:ind w:left="-117" w:firstLine="142"/>
              <w:contextualSpacing/>
              <w:jc w:val="center"/>
              <w:rPr>
                <w:rFonts w:ascii="Times New Roman" w:hAnsi="Times New Roman" w:cs="Times New Roman"/>
                <w:kern w:val="0"/>
                <w:lang w:val="ru-RU" w:eastAsia="ru-RU" w:bidi="ar-SA"/>
              </w:rPr>
            </w:pPr>
            <w:r>
              <w:rPr>
                <w:rFonts w:cs="Times New Roman"/>
                <w:kern w:val="0"/>
                <w:lang w:val="ru-RU" w:eastAsia="ru-RU" w:bidi="ar-SA"/>
              </w:rPr>
            </w:r>
          </w:p>
        </w:tc>
        <w:tc>
          <w:tcPr>
            <w:tcW w:w="1980" w:type="dxa"/>
            <w:tcBorders/>
            <w:shd w:color="auto" w:fill="auto" w:val="clear"/>
          </w:tcPr>
          <w:p>
            <w:pPr>
              <w:pStyle w:val="Normal"/>
              <w:widowControl w:val="false"/>
              <w:suppressAutoHyphens w:val="true"/>
              <w:spacing w:before="0" w:after="0"/>
              <w:ind w:right="-152" w:hanging="0"/>
              <w:jc w:val="left"/>
              <w:rPr>
                <w:sz w:val="24"/>
                <w:szCs w:val="24"/>
              </w:rPr>
            </w:pPr>
            <w:r>
              <w:rPr>
                <w:rFonts w:eastAsia="Times New Roman" w:cs="Times New Roman"/>
                <w:kern w:val="0"/>
                <w:sz w:val="24"/>
                <w:szCs w:val="24"/>
                <w:lang w:val="ru-RU" w:eastAsia="ru-RU" w:bidi="ar-SA"/>
              </w:rPr>
              <w:t>Требования к корпоративному стилю</w:t>
            </w:r>
          </w:p>
        </w:tc>
        <w:tc>
          <w:tcPr>
            <w:tcW w:w="8313" w:type="dxa"/>
            <w:tcBorders/>
            <w:shd w:color="auto" w:fill="auto" w:val="clear"/>
          </w:tcPr>
          <w:p>
            <w:pPr>
              <w:pStyle w:val="Normal"/>
              <w:widowControl w:val="false"/>
              <w:suppressAutoHyphens w:val="true"/>
              <w:spacing w:before="0" w:after="0"/>
              <w:jc w:val="both"/>
              <w:rPr>
                <w:rFonts w:ascii="Times New Roman" w:hAnsi="Times New Roman" w:eastAsia="Times New Roman" w:cs="Times New Roman"/>
                <w:kern w:val="0"/>
                <w:lang w:val="ru-RU" w:eastAsia="ru-RU" w:bidi="ar-SA"/>
              </w:rPr>
            </w:pPr>
            <w:r>
              <w:rPr>
                <w:rFonts w:eastAsia="Times New Roman" w:cs="Times New Roman"/>
                <w:kern w:val="0"/>
                <w:sz w:val="24"/>
                <w:szCs w:val="24"/>
                <w:lang w:val="ru-RU" w:eastAsia="ru-RU" w:bidi="ar-SA"/>
              </w:rPr>
              <w:t>Требования к корпоративному стилю Группы РусГидро указаны в Приложении №1 к настоящим ТТ</w:t>
            </w:r>
          </w:p>
        </w:tc>
        <w:tc>
          <w:tcPr>
            <w:tcW w:w="2012" w:type="dxa"/>
            <w:tcBorders/>
            <w:shd w:color="auto" w:fill="auto" w:val="clear"/>
          </w:tcPr>
          <w:p>
            <w:pPr>
              <w:pStyle w:val="Normal"/>
              <w:widowControl w:val="false"/>
              <w:suppressAutoHyphens w:val="true"/>
              <w:spacing w:before="0" w:after="0"/>
              <w:jc w:val="center"/>
              <w:rPr>
                <w:i/>
                <w:i/>
                <w:sz w:val="24"/>
                <w:szCs w:val="24"/>
              </w:rPr>
            </w:pPr>
            <w:r>
              <w:rPr>
                <w:rFonts w:eastAsia="Times New Roman" w:cs="Times New Roman"/>
                <w:i/>
                <w:kern w:val="0"/>
                <w:sz w:val="24"/>
                <w:szCs w:val="24"/>
                <w:lang w:val="ru-RU" w:eastAsia="ru-RU" w:bidi="ar-SA"/>
              </w:rPr>
              <w:t>Согласие с требованием</w:t>
            </w:r>
          </w:p>
        </w:tc>
        <w:tc>
          <w:tcPr>
            <w:tcW w:w="2331" w:type="dxa"/>
            <w:tcBorders/>
            <w:shd w:color="auto" w:fill="auto" w:val="clear"/>
          </w:tcPr>
          <w:p>
            <w:pPr>
              <w:pStyle w:val="Normal"/>
              <w:widowControl w:val="false"/>
              <w:suppressAutoHyphens w:val="true"/>
              <w:spacing w:before="0" w:after="0"/>
              <w:jc w:val="center"/>
              <w:rPr>
                <w:sz w:val="24"/>
                <w:szCs w:val="24"/>
              </w:rPr>
            </w:pPr>
            <w:r>
              <w:rPr>
                <w:rFonts w:eastAsia="Times New Roman" w:cs="Times New Roman"/>
                <w:kern w:val="0"/>
                <w:sz w:val="24"/>
                <w:szCs w:val="24"/>
                <w:lang w:val="ru-RU" w:eastAsia="ru-RU" w:bidi="ar-SA"/>
              </w:rPr>
              <w:t xml:space="preserve"> –  </w:t>
            </w:r>
          </w:p>
        </w:tc>
      </w:tr>
      <w:tr>
        <w:trPr/>
        <w:tc>
          <w:tcPr>
            <w:tcW w:w="889" w:type="dxa"/>
            <w:tcBorders/>
          </w:tcPr>
          <w:p>
            <w:pPr>
              <w:pStyle w:val="ListParagraph"/>
              <w:widowControl w:val="false"/>
              <w:numPr>
                <w:ilvl w:val="0"/>
                <w:numId w:val="9"/>
              </w:numPr>
              <w:suppressAutoHyphens w:val="true"/>
              <w:spacing w:before="60" w:after="60"/>
              <w:ind w:left="0" w:hanging="0"/>
              <w:contextualSpacing/>
              <w:jc w:val="center"/>
              <w:rPr>
                <w:rFonts w:ascii="Times New Roman" w:hAnsi="Times New Roman" w:cs="Times New Roman"/>
                <w:kern w:val="0"/>
                <w:lang w:val="ru-RU" w:eastAsia="ru-RU" w:bidi="ar-SA"/>
              </w:rPr>
            </w:pPr>
            <w:r>
              <w:rPr>
                <w:rFonts w:cs="Times New Roman"/>
                <w:kern w:val="0"/>
                <w:lang w:val="ru-RU" w:eastAsia="ru-RU" w:bidi="ar-SA"/>
              </w:rPr>
            </w:r>
          </w:p>
        </w:tc>
        <w:tc>
          <w:tcPr>
            <w:tcW w:w="10293" w:type="dxa"/>
            <w:gridSpan w:val="2"/>
            <w:tcBorders/>
            <w:vAlign w:val="center"/>
          </w:tcPr>
          <w:p>
            <w:pPr>
              <w:pStyle w:val="Normal"/>
              <w:widowControl w:val="false"/>
              <w:suppressAutoHyphens w:val="true"/>
              <w:spacing w:before="0" w:after="0"/>
              <w:jc w:val="left"/>
              <w:rPr>
                <w:b/>
                <w:sz w:val="24"/>
                <w:szCs w:val="24"/>
              </w:rPr>
            </w:pPr>
            <w:r>
              <w:rPr>
                <w:rFonts w:eastAsia="Times New Roman" w:cs="Times New Roman"/>
                <w:b/>
                <w:kern w:val="0"/>
                <w:sz w:val="24"/>
                <w:szCs w:val="24"/>
                <w:lang w:val="ru-RU" w:eastAsia="ru-RU" w:bidi="ar-SA"/>
              </w:rPr>
              <w:t>Требования к характеристикам продукции в корпоративном стиле</w:t>
            </w:r>
          </w:p>
        </w:tc>
        <w:tc>
          <w:tcPr>
            <w:tcW w:w="2012" w:type="dxa"/>
            <w:tcBorders/>
          </w:tcPr>
          <w:p>
            <w:pPr>
              <w:pStyle w:val="Normal"/>
              <w:widowControl w:val="false"/>
              <w:suppressAutoHyphens w:val="true"/>
              <w:spacing w:before="0" w:after="0"/>
              <w:jc w:val="center"/>
              <w:rPr>
                <w:b/>
                <w:sz w:val="24"/>
                <w:szCs w:val="24"/>
              </w:rPr>
            </w:pPr>
            <w:r>
              <w:rPr>
                <w:rFonts w:eastAsia="Times New Roman" w:cs="Times New Roman"/>
                <w:b/>
                <w:kern w:val="0"/>
                <w:sz w:val="24"/>
                <w:szCs w:val="24"/>
                <w:lang w:val="ru-RU" w:eastAsia="ru-RU" w:bidi="ar-SA"/>
              </w:rPr>
              <w:t>-//-</w:t>
            </w:r>
          </w:p>
        </w:tc>
        <w:tc>
          <w:tcPr>
            <w:tcW w:w="2331" w:type="dxa"/>
            <w:tcBorders/>
          </w:tcPr>
          <w:p>
            <w:pPr>
              <w:pStyle w:val="Normal"/>
              <w:widowControl w:val="false"/>
              <w:suppressAutoHyphens w:val="true"/>
              <w:spacing w:before="0" w:after="0"/>
              <w:jc w:val="center"/>
              <w:rPr>
                <w:b/>
                <w:sz w:val="24"/>
                <w:szCs w:val="24"/>
              </w:rPr>
            </w:pPr>
            <w:r>
              <w:rPr>
                <w:rFonts w:eastAsia="Times New Roman" w:cs="Times New Roman"/>
                <w:b/>
                <w:kern w:val="0"/>
                <w:sz w:val="24"/>
                <w:szCs w:val="24"/>
                <w:lang w:val="ru-RU" w:eastAsia="ru-RU" w:bidi="ar-SA"/>
              </w:rPr>
              <w:t>-//-</w:t>
            </w:r>
          </w:p>
        </w:tc>
      </w:tr>
      <w:tr>
        <w:trPr/>
        <w:tc>
          <w:tcPr>
            <w:tcW w:w="889" w:type="dxa"/>
            <w:tcBorders/>
          </w:tcPr>
          <w:p>
            <w:pPr>
              <w:pStyle w:val="ListParagraph"/>
              <w:widowControl w:val="false"/>
              <w:numPr>
                <w:ilvl w:val="1"/>
                <w:numId w:val="9"/>
              </w:numPr>
              <w:suppressAutoHyphens w:val="true"/>
              <w:spacing w:before="60" w:after="60"/>
              <w:ind w:left="-117" w:firstLine="142"/>
              <w:contextualSpacing/>
              <w:jc w:val="center"/>
              <w:rPr>
                <w:rFonts w:ascii="Times New Roman" w:hAnsi="Times New Roman" w:cs="Times New Roman"/>
                <w:kern w:val="0"/>
                <w:lang w:val="ru-RU" w:eastAsia="ru-RU" w:bidi="ar-SA"/>
              </w:rPr>
            </w:pPr>
            <w:r>
              <w:rPr>
                <w:rFonts w:cs="Times New Roman"/>
                <w:kern w:val="0"/>
                <w:lang w:val="ru-RU" w:eastAsia="ru-RU" w:bidi="ar-SA"/>
              </w:rPr>
            </w:r>
          </w:p>
        </w:tc>
        <w:tc>
          <w:tcPr>
            <w:tcW w:w="1980" w:type="dxa"/>
            <w:tcBorders/>
            <w:shd w:color="auto" w:fill="auto" w:val="clear"/>
          </w:tcPr>
          <w:p>
            <w:pPr>
              <w:pStyle w:val="Normal"/>
              <w:widowControl w:val="false"/>
              <w:suppressAutoHyphens w:val="true"/>
              <w:spacing w:before="0" w:after="0"/>
              <w:jc w:val="left"/>
              <w:rPr>
                <w:sz w:val="24"/>
                <w:szCs w:val="24"/>
              </w:rPr>
            </w:pPr>
            <w:r>
              <w:rPr>
                <w:rFonts w:eastAsia="Times New Roman" w:cs="Times New Roman"/>
                <w:kern w:val="0"/>
                <w:sz w:val="24"/>
                <w:szCs w:val="24"/>
                <w:lang w:val="ru-RU" w:eastAsia="ru-RU" w:bidi="ar-SA"/>
              </w:rPr>
              <w:t>Требования к костюму летнему для защиты от ОПЗ для ИТР</w:t>
            </w:r>
          </w:p>
          <w:p>
            <w:pPr>
              <w:pStyle w:val="Normal"/>
              <w:widowControl w:val="false"/>
              <w:suppressAutoHyphens w:val="true"/>
              <w:spacing w:before="0" w:after="0"/>
              <w:jc w:val="left"/>
              <w:rPr>
                <w:sz w:val="24"/>
                <w:szCs w:val="24"/>
              </w:rPr>
            </w:pPr>
            <w:r>
              <w:rPr>
                <w:rFonts w:eastAsia="Times New Roman" w:cs="Times New Roman"/>
                <w:kern w:val="0"/>
                <w:sz w:val="24"/>
                <w:szCs w:val="24"/>
                <w:lang w:val="ru-RU" w:eastAsia="ru-RU" w:bidi="ar-SA"/>
              </w:rPr>
              <w:t>(</w:t>
            </w:r>
            <w:r>
              <w:rPr>
                <w:rFonts w:eastAsia="Times New Roman" w:cs="Times New Roman"/>
                <w:i/>
                <w:kern w:val="0"/>
                <w:sz w:val="24"/>
                <w:szCs w:val="24"/>
                <w:lang w:val="ru-RU" w:eastAsia="ru-RU" w:bidi="ar-SA"/>
              </w:rPr>
              <w:t>Позиции №1, № 2 в Таблице 1.1. настоящих ТТ</w:t>
            </w:r>
            <w:r>
              <w:rPr>
                <w:rFonts w:eastAsia="Times New Roman" w:cs="Times New Roman"/>
                <w:kern w:val="0"/>
                <w:sz w:val="24"/>
                <w:szCs w:val="24"/>
                <w:lang w:val="ru-RU" w:eastAsia="ru-RU" w:bidi="ar-SA"/>
              </w:rPr>
              <w:t>)</w:t>
            </w:r>
          </w:p>
        </w:tc>
        <w:tc>
          <w:tcPr>
            <w:tcW w:w="8313" w:type="dxa"/>
            <w:tcBorders/>
            <w:shd w:color="auto" w:fill="auto" w:val="clear"/>
          </w:tcPr>
          <w:p>
            <w:pPr>
              <w:pStyle w:val="ListParagraph"/>
              <w:widowControl w:val="false"/>
              <w:numPr>
                <w:ilvl w:val="2"/>
                <w:numId w:val="9"/>
              </w:numPr>
              <w:tabs>
                <w:tab w:val="clear" w:pos="720"/>
                <w:tab w:val="left" w:pos="882"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Костюм мужской / женский летний для руководителей и специалистов состоит из куртки и брюк, предназначен для защиты от общих производственных загрязнений и Ми З. Должен соответствовать ТР ТС 019/2011 и изготавливаться с учетом требований ГОСТ 12.4.280-2014.</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Выполнен из тканей трех цветов: основной – темно-синий, отделочный - васильковый и оранжевый. </w:t>
            </w:r>
          </w:p>
          <w:p>
            <w:pPr>
              <w:pStyle w:val="ListParagraph"/>
              <w:widowControl w:val="false"/>
              <w:numPr>
                <w:ilvl w:val="2"/>
                <w:numId w:val="9"/>
              </w:numPr>
              <w:tabs>
                <w:tab w:val="clear" w:pos="720"/>
                <w:tab w:val="left" w:pos="882"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b/>
                <w:kern w:val="0"/>
                <w:lang w:val="ru-RU" w:eastAsia="ru-RU" w:bidi="ar-SA"/>
              </w:rPr>
              <w:t xml:space="preserve">Куртка </w:t>
            </w:r>
            <w:r>
              <w:rPr>
                <w:rFonts w:cs="Times New Roman"/>
                <w:kern w:val="0"/>
                <w:lang w:val="ru-RU" w:eastAsia="ru-RU" w:bidi="ar-SA"/>
              </w:rPr>
              <w:t>прямого силуэта, с центральной потайной застежкой на 4 петли и пуговицы, и со сквозной верхней петлей, с втачными рукавами и втачным отложным воротником.</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Каждая полочка и спинка с притачной кокеткой светло-василькового цвета и кантом оранжевого цвета шириной 3 мм по шву притачивания кокеток. </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Полочки с нагрудными и нижними накладными карманами. Нагрудные карманы: на правой полочке - накладной комбинированный карман с расстроченным отделением для карандаша со стороны борта и карманом для телефона с клапаном со стороны проймы, фиксирующийся на контактную ленту (допускается притачивания паты кармана в шов кокетки);</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На левой полочке – накладной карман с клапаном, фиксирующийся на контактную ленту. Нижние боковые карманы с объемом по боковым сторонам и с клапаном, фиксирующимся на контактную ленту. Уголки клапанов карманов скошенные. На левой полочке расположен внутренний навесной карман, застегивающийся на контактную ленту посередине. </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Спинка с кулисой по линии талии.</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Рукава втачные, двухшовные, с фигурными налокотниками, с манжетами, застегивающимися на петлю и пуговицу. </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Под проймой вентиляционные отверстия в виде металлических люверсов для воздухообмена.</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По шву втачивания нижнего воротника в горловину спинки расположена вешалка.</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Для удобства пользования контактными застежками в костюме применяются «флажки» - держатели оранжевого цвета.  </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Из ткани оранжевого цвета выполнены «флажки» - держатели, клапан кармана для телефона.</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Внизу кокеток полочек и спинки, внизу рукавов под налокотниками проходит охватывающая световозвращающая полоса шириной 25 мм. </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Внизу шва настрачивания световозвращающей полосы на рукавах проходит кант шириной 2-3 мм оранжевого цвета.</w:t>
            </w:r>
          </w:p>
          <w:p>
            <w:pPr>
              <w:pStyle w:val="ListParagraph"/>
              <w:widowControl w:val="false"/>
              <w:numPr>
                <w:ilvl w:val="2"/>
                <w:numId w:val="9"/>
              </w:numPr>
              <w:tabs>
                <w:tab w:val="clear" w:pos="720"/>
                <w:tab w:val="left" w:pos="882"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b/>
                <w:kern w:val="0"/>
                <w:lang w:val="ru-RU" w:eastAsia="ru-RU" w:bidi="ar-SA"/>
              </w:rPr>
              <w:t>Брюки</w:t>
            </w:r>
            <w:r>
              <w:rPr>
                <w:rFonts w:cs="Times New Roman"/>
                <w:kern w:val="0"/>
                <w:lang w:val="ru-RU" w:eastAsia="ru-RU" w:bidi="ar-SA"/>
              </w:rPr>
              <w:t xml:space="preserve"> прямого силуэта, с застежкой гульфика на тесьму – «молнию», с притачным поясом, пятью шлевками и патами для регулирования объема на одну петлю и две пуговицы в области боковых швов.</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На передних половинках брюк карманы с отрезным бочком и наколенники. </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Задние половинки брюк с вытачками, с усилительными накладками в области среднего шва.</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Охватывающая световозвращающая полоса шириной 25 мм проходит внизу под наколенниками. Внизу шва настрачивания световозвращающей полосы проходит кант шириной 3 мм оранжевого цвета.</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С изнаночной стороны на куртку и брюки настрочена лента «ФИО».</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Все отделочные строчки выполнены белыми нитками. Места крепления карманов дополнительно укреплены автоматической закрепкой.</w:t>
            </w:r>
          </w:p>
          <w:p>
            <w:pPr>
              <w:pStyle w:val="ListParagraph"/>
              <w:widowControl w:val="false"/>
              <w:numPr>
                <w:ilvl w:val="2"/>
                <w:numId w:val="9"/>
              </w:numPr>
              <w:tabs>
                <w:tab w:val="clear" w:pos="720"/>
                <w:tab w:val="left" w:pos="882" w:leader="none"/>
              </w:tabs>
              <w:suppressAutoHyphens w:val="true"/>
              <w:spacing w:before="0" w:after="0"/>
              <w:ind w:left="0" w:firstLine="40"/>
              <w:contextualSpacing/>
              <w:jc w:val="both"/>
              <w:rPr>
                <w:b/>
              </w:rPr>
            </w:pPr>
            <w:r>
              <w:rPr>
                <w:rFonts w:cs="Times New Roman"/>
                <w:b/>
                <w:kern w:val="0"/>
                <w:lang w:val="ru-RU" w:eastAsia="ru-RU" w:bidi="ar-SA"/>
              </w:rPr>
              <w:t>Сигнальные элементы</w:t>
            </w:r>
            <w:r>
              <w:rPr>
                <w:rFonts w:cs="Times New Roman"/>
                <w:kern w:val="0"/>
                <w:lang w:val="ru-RU" w:eastAsia="ru-RU" w:bidi="ar-SA"/>
              </w:rPr>
              <w:t>: полосы из световозвращающего материала шириной 25 мм.</w:t>
            </w:r>
          </w:p>
          <w:p>
            <w:pPr>
              <w:pStyle w:val="ListParagraph"/>
              <w:widowControl w:val="false"/>
              <w:numPr>
                <w:ilvl w:val="2"/>
                <w:numId w:val="9"/>
              </w:numPr>
              <w:tabs>
                <w:tab w:val="clear" w:pos="720"/>
                <w:tab w:val="left" w:pos="882" w:leader="none"/>
              </w:tabs>
              <w:suppressAutoHyphens w:val="true"/>
              <w:spacing w:before="0" w:after="0"/>
              <w:ind w:left="0" w:firstLine="40"/>
              <w:contextualSpacing/>
              <w:jc w:val="both"/>
              <w:rPr>
                <w:b/>
              </w:rPr>
            </w:pPr>
            <w:r>
              <w:rPr>
                <w:rFonts w:cs="Times New Roman"/>
                <w:b/>
                <w:kern w:val="0"/>
                <w:lang w:val="ru-RU" w:eastAsia="ru-RU" w:bidi="ar-SA"/>
              </w:rPr>
              <w:t>Применяемые материалы:</w:t>
            </w:r>
          </w:p>
          <w:p>
            <w:pPr>
              <w:pStyle w:val="ListParagraph"/>
              <w:widowControl w:val="false"/>
              <w:numPr>
                <w:ilvl w:val="3"/>
                <w:numId w:val="9"/>
              </w:numPr>
              <w:tabs>
                <w:tab w:val="clear" w:pos="720"/>
                <w:tab w:val="left" w:pos="882" w:leader="none"/>
                <w:tab w:val="left" w:pos="1144"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u w:val="single"/>
                <w:lang w:val="ru-RU" w:eastAsia="ru-RU" w:bidi="ar-SA"/>
              </w:rPr>
              <w:t xml:space="preserve"> </w:t>
            </w:r>
            <w:r>
              <w:rPr>
                <w:rFonts w:cs="Times New Roman"/>
                <w:kern w:val="0"/>
                <w:u w:val="single"/>
                <w:lang w:val="ru-RU" w:eastAsia="ru-RU" w:bidi="ar-SA"/>
              </w:rPr>
              <w:t>Основная ткань</w:t>
            </w:r>
            <w:r>
              <w:rPr>
                <w:rFonts w:cs="Times New Roman"/>
                <w:b/>
                <w:kern w:val="0"/>
                <w:lang w:val="ru-RU" w:eastAsia="ru-RU" w:bidi="ar-SA"/>
              </w:rPr>
              <w:t xml:space="preserve">: </w:t>
            </w:r>
            <w:r>
              <w:rPr>
                <w:rFonts w:cs="Times New Roman"/>
                <w:kern w:val="0"/>
                <w:lang w:val="ru-RU" w:eastAsia="ru-RU" w:bidi="ar-SA"/>
              </w:rPr>
              <w:t>хлопчатобумажная</w:t>
            </w:r>
            <w:r>
              <w:rPr>
                <w:rFonts w:cs="Times New Roman"/>
                <w:b/>
                <w:kern w:val="0"/>
                <w:lang w:val="ru-RU" w:eastAsia="ru-RU" w:bidi="ar-SA"/>
              </w:rPr>
              <w:t>,</w:t>
            </w:r>
            <w:r>
              <w:rPr>
                <w:rFonts w:cs="Times New Roman"/>
                <w:kern w:val="0"/>
                <w:lang w:val="ru-RU" w:eastAsia="ru-RU" w:bidi="ar-SA"/>
              </w:rPr>
              <w:t xml:space="preserve"> состав сырья 100% хлопок, плотность 230 (+/-10 г/м</w:t>
            </w:r>
            <w:r>
              <w:rPr>
                <w:rFonts w:cs="Times New Roman"/>
                <w:kern w:val="0"/>
                <w:vertAlign w:val="superscript"/>
                <w:lang w:val="ru-RU" w:eastAsia="ru-RU" w:bidi="ar-SA"/>
              </w:rPr>
              <w:t>2</w:t>
            </w:r>
            <w:r>
              <w:rPr>
                <w:rFonts w:cs="Times New Roman"/>
                <w:kern w:val="0"/>
                <w:lang w:val="ru-RU" w:eastAsia="ru-RU" w:bidi="ar-SA"/>
              </w:rPr>
              <w:t>) г/м</w:t>
            </w:r>
            <w:r>
              <w:rPr>
                <w:rFonts w:cs="Times New Roman"/>
                <w:kern w:val="0"/>
                <w:vertAlign w:val="superscript"/>
                <w:lang w:val="ru-RU" w:eastAsia="ru-RU" w:bidi="ar-SA"/>
              </w:rPr>
              <w:t>2</w:t>
            </w:r>
            <w:r>
              <w:rPr>
                <w:rFonts w:cs="Times New Roman"/>
                <w:kern w:val="0"/>
                <w:lang w:val="ru-RU" w:eastAsia="ru-RU" w:bidi="ar-SA"/>
              </w:rPr>
              <w:t xml:space="preserve"> с ВО отделкой, цвет: основной – синий, отделочный – васильковый и оранжевый.</w:t>
            </w:r>
          </w:p>
          <w:p>
            <w:pPr>
              <w:pStyle w:val="ListParagraph"/>
              <w:widowControl w:val="false"/>
              <w:numPr>
                <w:ilvl w:val="3"/>
                <w:numId w:val="9"/>
              </w:numPr>
              <w:tabs>
                <w:tab w:val="clear" w:pos="720"/>
                <w:tab w:val="left" w:pos="882" w:leader="none"/>
                <w:tab w:val="left" w:pos="1156" w:leader="none"/>
              </w:tabs>
              <w:suppressAutoHyphens w:val="true"/>
              <w:spacing w:before="0" w:after="0"/>
              <w:ind w:left="0" w:firstLine="40"/>
              <w:contextualSpacing/>
              <w:jc w:val="both"/>
              <w:rPr>
                <w:u w:val="single"/>
              </w:rPr>
            </w:pPr>
            <w:r>
              <w:rPr>
                <w:rFonts w:cs="Times New Roman"/>
                <w:kern w:val="0"/>
                <w:u w:val="single"/>
                <w:lang w:val="ru-RU" w:eastAsia="ru-RU" w:bidi="ar-SA"/>
              </w:rPr>
              <w:t xml:space="preserve"> </w:t>
            </w:r>
            <w:r>
              <w:rPr>
                <w:rFonts w:cs="Times New Roman"/>
                <w:kern w:val="0"/>
                <w:u w:val="single"/>
                <w:lang w:val="ru-RU" w:eastAsia="ru-RU" w:bidi="ar-SA"/>
              </w:rPr>
              <w:t>Физико-механические характеристики тканей верха, из которых изготовлены костюмы, должны удовлетворять следующим требованиям:</w:t>
            </w:r>
          </w:p>
          <w:p>
            <w:pPr>
              <w:pStyle w:val="Normal"/>
              <w:keepNext w:val="true"/>
              <w:widowControl w:val="false"/>
              <w:numPr>
                <w:ilvl w:val="0"/>
                <w:numId w:val="0"/>
              </w:numPr>
              <w:tabs>
                <w:tab w:val="clear" w:pos="720"/>
                <w:tab w:val="left" w:pos="426" w:leader="none"/>
                <w:tab w:val="left" w:pos="860" w:leader="none"/>
              </w:tabs>
              <w:suppressAutoHyphens w:val="true"/>
              <w:spacing w:before="0" w:after="0"/>
              <w:ind w:left="0" w:firstLine="323"/>
              <w:jc w:val="both"/>
              <w:outlineLvl w:val="1"/>
              <w:rPr>
                <w:sz w:val="24"/>
                <w:szCs w:val="24"/>
              </w:rPr>
            </w:pPr>
            <w:bookmarkStart w:id="31" w:name="_Toc150437246"/>
            <w:bookmarkStart w:id="32" w:name="_Toc194314068"/>
            <w:r>
              <w:rPr>
                <w:rFonts w:eastAsia="Times New Roman" w:cs="Times New Roman"/>
                <w:kern w:val="0"/>
                <w:sz w:val="24"/>
                <w:szCs w:val="24"/>
                <w:lang w:val="ru-RU" w:eastAsia="ru-RU" w:bidi="ar-SA"/>
              </w:rPr>
              <w:t>- разрывная нагрузка для ткани 100 % х/б, плотностью 230 +/-10 г/м2: основа – 600 Н, уток – 400 Н (п.5.6 таб.2 ГОСТ 11209-2014);</w:t>
            </w:r>
            <w:bookmarkEnd w:id="31"/>
            <w:bookmarkEnd w:id="32"/>
          </w:p>
          <w:p>
            <w:pPr>
              <w:pStyle w:val="Normal"/>
              <w:keepNext w:val="true"/>
              <w:widowControl w:val="false"/>
              <w:numPr>
                <w:ilvl w:val="0"/>
                <w:numId w:val="0"/>
              </w:numPr>
              <w:tabs>
                <w:tab w:val="clear" w:pos="720"/>
                <w:tab w:val="left" w:pos="426" w:leader="none"/>
                <w:tab w:val="left" w:pos="860" w:leader="none"/>
              </w:tabs>
              <w:suppressAutoHyphens w:val="true"/>
              <w:spacing w:before="0" w:after="0"/>
              <w:ind w:left="0" w:firstLine="323"/>
              <w:jc w:val="both"/>
              <w:outlineLvl w:val="1"/>
              <w:rPr>
                <w:sz w:val="24"/>
                <w:szCs w:val="24"/>
              </w:rPr>
            </w:pPr>
            <w:bookmarkStart w:id="33" w:name="_Toc150437247"/>
            <w:bookmarkStart w:id="34" w:name="_Toc194314069"/>
            <w:r>
              <w:rPr>
                <w:rFonts w:eastAsia="Times New Roman" w:cs="Times New Roman"/>
                <w:kern w:val="0"/>
                <w:sz w:val="24"/>
                <w:szCs w:val="24"/>
                <w:lang w:val="ru-RU" w:eastAsia="ru-RU" w:bidi="ar-SA"/>
              </w:rPr>
              <w:t>- изменение размеров после мокрой обработки или химической чистки для ткани 100% х/б, не более по основе – 3,5% и по утку +/-2,0% (п.5.6 таб. 2 ГОСТ 11209-2014);</w:t>
            </w:r>
            <w:bookmarkEnd w:id="33"/>
            <w:bookmarkEnd w:id="34"/>
          </w:p>
          <w:p>
            <w:pPr>
              <w:pStyle w:val="Normal"/>
              <w:keepNext w:val="true"/>
              <w:widowControl w:val="false"/>
              <w:numPr>
                <w:ilvl w:val="0"/>
                <w:numId w:val="0"/>
              </w:numPr>
              <w:tabs>
                <w:tab w:val="clear" w:pos="720"/>
                <w:tab w:val="left" w:pos="426" w:leader="none"/>
                <w:tab w:val="left" w:pos="860" w:leader="none"/>
              </w:tabs>
              <w:suppressAutoHyphens w:val="true"/>
              <w:spacing w:before="0" w:after="0"/>
              <w:ind w:left="0" w:firstLine="323"/>
              <w:jc w:val="both"/>
              <w:outlineLvl w:val="1"/>
              <w:rPr>
                <w:sz w:val="24"/>
                <w:szCs w:val="24"/>
              </w:rPr>
            </w:pPr>
            <w:bookmarkStart w:id="35" w:name="_Toc150437248"/>
            <w:bookmarkStart w:id="36" w:name="_Toc194314070"/>
            <w:r>
              <w:rPr>
                <w:rFonts w:eastAsia="Times New Roman" w:cs="Times New Roman"/>
                <w:kern w:val="0"/>
                <w:sz w:val="24"/>
                <w:szCs w:val="24"/>
                <w:lang w:val="ru-RU" w:eastAsia="ru-RU" w:bidi="ar-SA"/>
              </w:rPr>
              <w:t>- воздухопроницаемость - не менее 20 дм</w:t>
            </w:r>
            <w:r>
              <w:rPr>
                <w:rFonts w:eastAsia="Times New Roman" w:cs="Times New Roman"/>
                <w:kern w:val="0"/>
                <w:sz w:val="24"/>
                <w:szCs w:val="24"/>
                <w:vertAlign w:val="superscript"/>
                <w:lang w:val="ru-RU" w:eastAsia="ru-RU" w:bidi="ar-SA"/>
              </w:rPr>
              <w:t>3</w:t>
            </w:r>
            <w:r>
              <w:rPr>
                <w:rFonts w:eastAsia="Times New Roman" w:cs="Times New Roman"/>
                <w:kern w:val="0"/>
                <w:sz w:val="24"/>
                <w:szCs w:val="24"/>
                <w:lang w:val="ru-RU" w:eastAsia="ru-RU" w:bidi="ar-SA"/>
              </w:rPr>
              <w:t>/м</w:t>
            </w:r>
            <w:r>
              <w:rPr>
                <w:rFonts w:eastAsia="Times New Roman" w:cs="Times New Roman"/>
                <w:kern w:val="0"/>
                <w:sz w:val="24"/>
                <w:szCs w:val="24"/>
                <w:vertAlign w:val="superscript"/>
                <w:lang w:val="ru-RU" w:eastAsia="ru-RU" w:bidi="ar-SA"/>
              </w:rPr>
              <w:t>2</w:t>
            </w:r>
            <w:r>
              <w:rPr>
                <w:rFonts w:eastAsia="Times New Roman" w:cs="Times New Roman"/>
                <w:kern w:val="0"/>
                <w:sz w:val="24"/>
                <w:szCs w:val="24"/>
                <w:lang w:val="ru-RU" w:eastAsia="ru-RU" w:bidi="ar-SA"/>
              </w:rPr>
              <w:t>с (п.5.9 таб. 3 ГОСТ 11209-2014);</w:t>
            </w:r>
            <w:bookmarkEnd w:id="35"/>
            <w:bookmarkEnd w:id="36"/>
          </w:p>
          <w:p>
            <w:pPr>
              <w:pStyle w:val="Normal"/>
              <w:keepNext w:val="true"/>
              <w:widowControl w:val="false"/>
              <w:numPr>
                <w:ilvl w:val="0"/>
                <w:numId w:val="0"/>
              </w:numPr>
              <w:tabs>
                <w:tab w:val="clear" w:pos="720"/>
                <w:tab w:val="left" w:pos="426" w:leader="none"/>
                <w:tab w:val="left" w:pos="860" w:leader="none"/>
              </w:tabs>
              <w:suppressAutoHyphens w:val="true"/>
              <w:spacing w:before="0" w:after="0"/>
              <w:ind w:left="0" w:firstLine="323"/>
              <w:jc w:val="both"/>
              <w:outlineLvl w:val="1"/>
              <w:rPr>
                <w:sz w:val="24"/>
                <w:szCs w:val="24"/>
              </w:rPr>
            </w:pPr>
            <w:bookmarkStart w:id="37" w:name="_Toc150437249"/>
            <w:bookmarkStart w:id="38" w:name="_Toc194314071"/>
            <w:r>
              <w:rPr>
                <w:rFonts w:eastAsia="Times New Roman" w:cs="Times New Roman"/>
                <w:kern w:val="0"/>
                <w:sz w:val="24"/>
                <w:szCs w:val="24"/>
                <w:lang w:val="ru-RU" w:eastAsia="ru-RU" w:bidi="ar-SA"/>
              </w:rPr>
              <w:t>- гигроскопичность ткани, контактирующей с телом человека, %, – не менее 5 (п.5.4.1.5 таб. 3 ГОСТ 12.4.280-2014);</w:t>
            </w:r>
            <w:bookmarkEnd w:id="37"/>
            <w:bookmarkEnd w:id="38"/>
          </w:p>
          <w:p>
            <w:pPr>
              <w:pStyle w:val="Normal"/>
              <w:keepNext w:val="true"/>
              <w:widowControl w:val="false"/>
              <w:numPr>
                <w:ilvl w:val="0"/>
                <w:numId w:val="0"/>
              </w:numPr>
              <w:tabs>
                <w:tab w:val="clear" w:pos="720"/>
                <w:tab w:val="left" w:pos="426" w:leader="none"/>
                <w:tab w:val="left" w:pos="860" w:leader="none"/>
              </w:tabs>
              <w:suppressAutoHyphens w:val="true"/>
              <w:spacing w:before="0" w:after="0"/>
              <w:ind w:left="0" w:firstLine="323"/>
              <w:jc w:val="both"/>
              <w:outlineLvl w:val="1"/>
              <w:rPr>
                <w:sz w:val="24"/>
                <w:szCs w:val="24"/>
              </w:rPr>
            </w:pPr>
            <w:bookmarkStart w:id="39" w:name="_Toc150437250"/>
            <w:bookmarkStart w:id="40" w:name="_Toc194314072"/>
            <w:r>
              <w:rPr>
                <w:rFonts w:eastAsia="Times New Roman" w:cs="Times New Roman"/>
                <w:kern w:val="0"/>
                <w:sz w:val="24"/>
                <w:szCs w:val="24"/>
                <w:lang w:val="ru-RU" w:eastAsia="ru-RU" w:bidi="ar-SA"/>
              </w:rPr>
              <w:t>- устойчивость окраски к воздействию стирок, не менее, баллов: 4/4 (п.5.5 таб. 1 ГОСТ 11209-2014).</w:t>
            </w:r>
            <w:bookmarkEnd w:id="39"/>
            <w:bookmarkEnd w:id="40"/>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Каждый костюм должен быть упакован в индивидуальный полиэтиленовый пакет.</w:t>
            </w:r>
          </w:p>
          <w:p>
            <w:pPr>
              <w:pStyle w:val="ListParagraph"/>
              <w:widowControl w:val="false"/>
              <w:numPr>
                <w:ilvl w:val="2"/>
                <w:numId w:val="9"/>
              </w:numPr>
              <w:tabs>
                <w:tab w:val="clear" w:pos="720"/>
                <w:tab w:val="left" w:pos="882" w:leader="none"/>
              </w:tabs>
              <w:suppressAutoHyphens w:val="true"/>
              <w:spacing w:before="0" w:after="0"/>
              <w:ind w:left="0" w:firstLine="40"/>
              <w:contextualSpacing/>
              <w:jc w:val="both"/>
              <w:rPr>
                <w:b/>
              </w:rPr>
            </w:pPr>
            <w:r>
              <w:rPr>
                <w:rFonts w:cs="Times New Roman"/>
                <w:b/>
                <w:kern w:val="0"/>
                <w:lang w:val="ru-RU" w:eastAsia="ru-RU" w:bidi="ar-SA"/>
              </w:rPr>
              <w:t>Для маркировки готовых изделий должны применяться:</w:t>
            </w:r>
          </w:p>
          <w:p>
            <w:pPr>
              <w:pStyle w:val="Normal"/>
              <w:widowControl w:val="false"/>
              <w:tabs>
                <w:tab w:val="clear" w:pos="720"/>
                <w:tab w:val="left" w:pos="860" w:leader="none"/>
              </w:tabs>
              <w:suppressAutoHyphens w:val="true"/>
              <w:spacing w:before="0" w:after="0"/>
              <w:ind w:firstLine="40"/>
              <w:jc w:val="both"/>
              <w:rPr>
                <w:sz w:val="24"/>
                <w:szCs w:val="24"/>
              </w:rPr>
            </w:pPr>
            <w:r>
              <w:rPr>
                <w:rFonts w:eastAsia="Times New Roman" w:cs="Times New Roman"/>
                <w:kern w:val="0"/>
                <w:sz w:val="24"/>
                <w:szCs w:val="24"/>
                <w:lang w:val="ru-RU" w:eastAsia="ru-RU" w:bidi="ar-SA"/>
              </w:rPr>
              <w:t xml:space="preserve">   </w:t>
            </w:r>
            <w:r>
              <w:rPr>
                <w:rFonts w:eastAsia="Times New Roman" w:cs="Times New Roman"/>
                <w:kern w:val="0"/>
                <w:sz w:val="24"/>
                <w:szCs w:val="24"/>
                <w:lang w:val="ru-RU" w:eastAsia="ru-RU" w:bidi="ar-SA"/>
              </w:rPr>
              <w:t>- товарный ярлык;</w:t>
            </w:r>
          </w:p>
          <w:p>
            <w:pPr>
              <w:pStyle w:val="Normal"/>
              <w:widowControl w:val="false"/>
              <w:tabs>
                <w:tab w:val="clear" w:pos="720"/>
                <w:tab w:val="left" w:pos="860" w:leader="none"/>
              </w:tabs>
              <w:suppressAutoHyphens w:val="true"/>
              <w:spacing w:before="0" w:after="0"/>
              <w:ind w:firstLine="40"/>
              <w:jc w:val="both"/>
              <w:rPr>
                <w:sz w:val="24"/>
                <w:szCs w:val="24"/>
              </w:rPr>
            </w:pPr>
            <w:r>
              <w:rPr>
                <w:rFonts w:eastAsia="Times New Roman" w:cs="Times New Roman"/>
                <w:kern w:val="0"/>
                <w:sz w:val="24"/>
                <w:szCs w:val="24"/>
                <w:lang w:val="ru-RU" w:eastAsia="ru-RU" w:bidi="ar-SA"/>
              </w:rPr>
              <w:t xml:space="preserve">   </w:t>
            </w:r>
            <w:r>
              <w:rPr>
                <w:rFonts w:eastAsia="Times New Roman" w:cs="Times New Roman"/>
                <w:kern w:val="0"/>
                <w:sz w:val="24"/>
                <w:szCs w:val="24"/>
                <w:lang w:val="ru-RU" w:eastAsia="ru-RU" w:bidi="ar-SA"/>
              </w:rPr>
              <w:t>- контрольная лента;</w:t>
            </w:r>
          </w:p>
          <w:p>
            <w:pPr>
              <w:pStyle w:val="Normal"/>
              <w:widowControl w:val="false"/>
              <w:tabs>
                <w:tab w:val="clear" w:pos="720"/>
                <w:tab w:val="left" w:pos="860" w:leader="none"/>
              </w:tabs>
              <w:suppressAutoHyphens w:val="true"/>
              <w:spacing w:before="0" w:after="0"/>
              <w:ind w:firstLine="40"/>
              <w:jc w:val="both"/>
              <w:rPr>
                <w:sz w:val="24"/>
                <w:szCs w:val="24"/>
              </w:rPr>
            </w:pPr>
            <w:r>
              <w:rPr>
                <w:rFonts w:eastAsia="Times New Roman" w:cs="Times New Roman"/>
                <w:kern w:val="0"/>
                <w:sz w:val="24"/>
                <w:szCs w:val="24"/>
                <w:lang w:val="ru-RU" w:eastAsia="ru-RU" w:bidi="ar-SA"/>
              </w:rPr>
              <w:t xml:space="preserve">   </w:t>
            </w:r>
            <w:r>
              <w:rPr>
                <w:rFonts w:eastAsia="Times New Roman" w:cs="Times New Roman"/>
                <w:kern w:val="0"/>
                <w:sz w:val="24"/>
                <w:szCs w:val="24"/>
                <w:lang w:val="ru-RU" w:eastAsia="ru-RU" w:bidi="ar-SA"/>
              </w:rPr>
              <w:t>- инструкция по эксплуатации.</w:t>
            </w:r>
          </w:p>
          <w:p>
            <w:pPr>
              <w:pStyle w:val="ListParagraph"/>
              <w:widowControl w:val="false"/>
              <w:numPr>
                <w:ilvl w:val="2"/>
                <w:numId w:val="9"/>
              </w:numPr>
              <w:tabs>
                <w:tab w:val="clear" w:pos="720"/>
                <w:tab w:val="left" w:pos="882"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Обязательная форма подтверждения соответствия ТР ТС 019-2011 - декларация о соответствии (предоставляется при поставке СИЗ).</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i/>
                <w:kern w:val="0"/>
                <w:lang w:val="ru-RU" w:eastAsia="ru-RU" w:bidi="ar-SA"/>
              </w:rPr>
              <w:t>Эскиз образца костюма летнего для защиты от ОПЗ для ИТР приведен в Приложении № 1 к настоящим ТТ.</w:t>
            </w:r>
          </w:p>
          <w:p>
            <w:pPr>
              <w:pStyle w:val="ListParagraph"/>
              <w:widowControl w:val="false"/>
              <w:numPr>
                <w:ilvl w:val="0"/>
                <w:numId w:val="0"/>
              </w:numPr>
              <w:tabs>
                <w:tab w:val="clear" w:pos="720"/>
                <w:tab w:val="left" w:pos="457" w:leader="none"/>
                <w:tab w:val="left" w:pos="598" w:leader="none"/>
                <w:tab w:val="left" w:pos="740" w:leader="none"/>
                <w:tab w:val="left" w:pos="1024" w:leader="none"/>
              </w:tabs>
              <w:suppressAutoHyphens w:val="true"/>
              <w:spacing w:before="0" w:after="0"/>
              <w:ind w:left="31" w:hanging="0"/>
              <w:contextualSpacing/>
              <w:jc w:val="both"/>
              <w:rPr>
                <w:i w:val="false"/>
                <w:i w:val="false"/>
                <w:iCs w:val="false"/>
              </w:rPr>
            </w:pPr>
            <w:r>
              <w:rPr>
                <w:rFonts w:cs="Times New Roman"/>
                <w:i w:val="false"/>
                <w:iCs w:val="false"/>
                <w:kern w:val="0"/>
                <w:lang w:val="ru-RU" w:eastAsia="ru-RU" w:bidi="ar-SA"/>
              </w:rPr>
              <w:t>2.4.27 В составе документации на закупку предоставляется протокол испытаний СИЗ (защитные свойства).</w:t>
            </w:r>
          </w:p>
        </w:tc>
        <w:tc>
          <w:tcPr>
            <w:tcW w:w="2012" w:type="dxa"/>
            <w:tcBorders/>
            <w:shd w:color="auto" w:fill="auto" w:val="clear"/>
          </w:tcPr>
          <w:p>
            <w:pPr>
              <w:pStyle w:val="Normal"/>
              <w:widowControl w:val="false"/>
              <w:tabs>
                <w:tab w:val="clear" w:pos="720"/>
                <w:tab w:val="left" w:pos="301" w:leader="none"/>
                <w:tab w:val="center" w:pos="951" w:leader="none"/>
              </w:tabs>
              <w:suppressAutoHyphens w:val="true"/>
              <w:spacing w:before="0" w:after="0"/>
              <w:jc w:val="center"/>
              <w:rPr>
                <w:i/>
                <w:i/>
                <w:sz w:val="24"/>
                <w:szCs w:val="24"/>
              </w:rPr>
            </w:pPr>
            <w:r>
              <w:rPr>
                <w:rFonts w:eastAsia="Times New Roman" w:cs="Times New Roman"/>
                <w:i/>
                <w:kern w:val="0"/>
                <w:sz w:val="24"/>
                <w:szCs w:val="24"/>
                <w:lang w:val="ru-RU" w:eastAsia="ru-RU" w:bidi="ar-SA"/>
              </w:rPr>
              <w:t>Согласие с требованием</w:t>
            </w:r>
          </w:p>
        </w:tc>
        <w:tc>
          <w:tcPr>
            <w:tcW w:w="2331" w:type="dxa"/>
            <w:tcBorders/>
            <w:shd w:color="auto" w:fill="auto" w:val="clear"/>
          </w:tcPr>
          <w:p>
            <w:pPr>
              <w:pStyle w:val="Normal"/>
              <w:widowControl w:val="false"/>
              <w:suppressAutoHyphens w:val="true"/>
              <w:spacing w:before="0" w:after="0"/>
              <w:jc w:val="center"/>
              <w:rPr>
                <w:sz w:val="24"/>
                <w:szCs w:val="24"/>
              </w:rPr>
            </w:pPr>
            <w:r>
              <w:rPr>
                <w:rFonts w:eastAsia="Times New Roman" w:cs="Times New Roman"/>
                <w:kern w:val="0"/>
                <w:sz w:val="24"/>
                <w:szCs w:val="24"/>
                <w:lang w:val="ru-RU" w:eastAsia="ru-RU" w:bidi="ar-SA"/>
              </w:rPr>
              <w:t xml:space="preserve"> –  </w:t>
            </w:r>
          </w:p>
        </w:tc>
      </w:tr>
      <w:tr>
        <w:trPr/>
        <w:tc>
          <w:tcPr>
            <w:tcW w:w="889" w:type="dxa"/>
            <w:tcBorders/>
          </w:tcPr>
          <w:p>
            <w:pPr>
              <w:pStyle w:val="ListParagraph"/>
              <w:widowControl w:val="false"/>
              <w:numPr>
                <w:ilvl w:val="1"/>
                <w:numId w:val="9"/>
              </w:numPr>
              <w:suppressAutoHyphens w:val="true"/>
              <w:spacing w:before="60" w:after="60"/>
              <w:ind w:left="-117" w:firstLine="142"/>
              <w:contextualSpacing/>
              <w:jc w:val="center"/>
              <w:rPr>
                <w:rFonts w:ascii="Times New Roman" w:hAnsi="Times New Roman" w:cs="Times New Roman"/>
                <w:kern w:val="0"/>
                <w:lang w:val="ru-RU" w:eastAsia="ru-RU" w:bidi="ar-SA"/>
              </w:rPr>
            </w:pPr>
            <w:r>
              <w:rPr>
                <w:rFonts w:cs="Times New Roman"/>
                <w:kern w:val="0"/>
                <w:lang w:val="ru-RU" w:eastAsia="ru-RU" w:bidi="ar-SA"/>
              </w:rPr>
            </w:r>
          </w:p>
        </w:tc>
        <w:tc>
          <w:tcPr>
            <w:tcW w:w="1980" w:type="dxa"/>
            <w:tcBorders/>
            <w:shd w:color="auto" w:fill="auto" w:val="clear"/>
          </w:tcPr>
          <w:p>
            <w:pPr>
              <w:pStyle w:val="Normal"/>
              <w:widowControl w:val="false"/>
              <w:suppressAutoHyphens w:val="true"/>
              <w:spacing w:before="0" w:after="0"/>
              <w:jc w:val="left"/>
              <w:rPr>
                <w:sz w:val="24"/>
                <w:szCs w:val="24"/>
              </w:rPr>
            </w:pPr>
            <w:r>
              <w:rPr>
                <w:rFonts w:eastAsia="Times New Roman" w:cs="Times New Roman"/>
                <w:kern w:val="0"/>
                <w:sz w:val="24"/>
                <w:szCs w:val="24"/>
                <w:lang w:val="ru-RU" w:eastAsia="ru-RU" w:bidi="ar-SA"/>
              </w:rPr>
              <w:t>Требования к костюму на утепляющей прокладке для защиты от ОПЗ для ИТР (куртка + брюки)</w:t>
            </w:r>
          </w:p>
          <w:p>
            <w:pPr>
              <w:pStyle w:val="Normal"/>
              <w:widowControl w:val="false"/>
              <w:suppressAutoHyphens w:val="true"/>
              <w:spacing w:before="0" w:after="0"/>
              <w:jc w:val="left"/>
              <w:rPr>
                <w:sz w:val="24"/>
                <w:szCs w:val="24"/>
              </w:rPr>
            </w:pPr>
            <w:r>
              <w:rPr>
                <w:rFonts w:eastAsia="Times New Roman" w:cs="Times New Roman"/>
                <w:kern w:val="0"/>
                <w:sz w:val="24"/>
                <w:szCs w:val="24"/>
                <w:lang w:val="ru-RU" w:eastAsia="ru-RU" w:bidi="ar-SA"/>
              </w:rPr>
              <w:t>(</w:t>
            </w:r>
            <w:r>
              <w:rPr>
                <w:rFonts w:eastAsia="Times New Roman" w:cs="Times New Roman"/>
                <w:i/>
                <w:kern w:val="0"/>
                <w:sz w:val="24"/>
                <w:szCs w:val="24"/>
                <w:lang w:val="ru-RU" w:eastAsia="ru-RU" w:bidi="ar-SA"/>
              </w:rPr>
              <w:t>Позиции №3, № 4 в Таблице 1.1 настоящих ТТ)</w:t>
            </w:r>
          </w:p>
        </w:tc>
        <w:tc>
          <w:tcPr>
            <w:tcW w:w="8313" w:type="dxa"/>
            <w:tcBorders/>
            <w:shd w:color="auto" w:fill="auto" w:val="clear"/>
          </w:tcPr>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left"/>
              <w:rPr>
                <w:rFonts w:ascii="Times New Roman" w:hAnsi="Times New Roman" w:cs="Times New Roman"/>
                <w:kern w:val="0"/>
                <w:lang w:eastAsia="ru-RU" w:bidi="ar-SA"/>
              </w:rPr>
            </w:pPr>
            <w:r>
              <w:rPr>
                <w:rFonts w:cs="Times New Roman"/>
                <w:kern w:val="0"/>
                <w:lang w:val="ru-RU" w:eastAsia="ru-RU" w:bidi="ar-SA"/>
              </w:rPr>
              <w:t xml:space="preserve">Костюм состоит из куртки и брюк для </w:t>
            </w:r>
            <w:r>
              <w:rPr>
                <w:rFonts w:cs="Times New Roman"/>
                <w:kern w:val="0"/>
                <w:lang w:val="en-US" w:eastAsia="ru-RU" w:bidi="ar-SA"/>
              </w:rPr>
              <w:t>III</w:t>
            </w:r>
            <w:r>
              <w:rPr>
                <w:rFonts w:cs="Times New Roman"/>
                <w:kern w:val="0"/>
                <w:lang w:val="ru-RU" w:eastAsia="ru-RU" w:bidi="ar-SA"/>
              </w:rPr>
              <w:t>, климатических поясов. Выполнен из тканей трех цветов: основной – темно-синий, отделочный – васильковый и оранжевый</w:t>
            </w:r>
            <w:r>
              <w:rPr>
                <w:rFonts w:eastAsia="Times New Roman" w:cs="Times New Roman"/>
                <w:color w:val="FF0000"/>
                <w:kern w:val="0"/>
                <w:sz w:val="28"/>
                <w:szCs w:val="28"/>
                <w:lang w:val="ru-RU" w:eastAsia="ru-RU" w:bidi="ar-SA"/>
              </w:rPr>
              <w:t xml:space="preserve"> </w:t>
            </w:r>
            <w:r>
              <w:rPr>
                <w:rFonts w:cs="Times New Roman"/>
                <w:kern w:val="0"/>
                <w:lang w:val="ru-RU" w:eastAsia="ru-RU" w:bidi="ar-SA"/>
              </w:rPr>
              <w:t xml:space="preserve">предназначен для защиты от пониженных температур воздуха и ветра. </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b/>
                <w:kern w:val="0"/>
                <w:lang w:val="ru-RU" w:eastAsia="ru-RU" w:bidi="ar-SA"/>
              </w:rPr>
              <w:t>Куртка прямого</w:t>
            </w:r>
            <w:r>
              <w:rPr>
                <w:rFonts w:cs="Times New Roman"/>
                <w:kern w:val="0"/>
                <w:lang w:val="ru-RU" w:eastAsia="ru-RU" w:bidi="ar-SA"/>
              </w:rPr>
              <w:t xml:space="preserve"> силуэта, с притачной утепляющей подкладкой (ткань верха + спанбонд + 3 слоя утеплителя + спанбонд + подкладка ПЭ); с центральной застежкой на 2-х замковую тесьму – «молнию»; с планкой под тесьму – «молнию» с флисом в верхней части, с ветрозащитным клапаном, фиксирующимся на контактную ленту в 4-х точках; с воротником «стойка»; со съемным утепленным капюшоном, с втачными рукавами.</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Каждая полочка с отрезной кокеткой, с отрезной нижней частью и с продольными рельефами от шва притачивания кокетки до низа. Полочки с нагрудными наклонно-вертикальными карманами «листочка с втачными концами» и с нижними накладными карманами, которые закрываются клапанами, верхняя сторона которых входит в поперечный шов стачивания полочек. Боковые стороны карманов и клапанов входит в шов рельефа и в боковые швы. Левая полочка с вертикальным карманом (формата А4) на молнии под ветрозащитным клапаном. По шву притачивания кокетки левой полочки вставлена петля для крепления бейджа.</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Спинка с кокеткой и по линии талии стягивается эластичной тесьмой.</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Рукава втачные, трехшовные, с налокотниками. Средняя часть с поперечным членением ниже линии локтя. Низ рукавов обработан швом в подгибку с закрытым срезом.</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Воротник – «стойка» утепленный; с патой, которая фиксируется на контактную ленту; с планкой и тесьмой – «молнией» для пристегивания капюшона. Внутренняя стойка выполнена из флиса.</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Съемный утепленный капюшон с подбородочной частью, которая фиксируется на контактную ленту. По лицевому вырезу капюшона проходит кулиса, которая стягивается шляпной резинкой, проходящей через две пары люверсов и фиксаторы с кольцами-ограничителями. На средней части капюшона – затяжник, который фиксируется на контактную ленту. Капюшон пристегивается к горловине куртки на молнию.</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Низ куртки с кулисой, которая стягивается шляпной резинкой, проходящей через две пары люверсов в области боковых швов и петельки в боковых швах подкладки, и регулируется фиксаторами.</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На притачной утепляющей подкладке левой полочки расположен нагрудный накладной карман, который фиксируется на контактную ленту. Рукава притачной подкладки с трикотажными напульсниками. По шву горловины спинки расположена вешалка.</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Кокетки полочек и спинки, верхняя деталь средней части рукава, нижние клапаны карманов, нижняя деталь ветрозащитного клапана, внешняя стойка выполнены из отделочной ткани василькового цвета.</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Внизу кокеток полочек и спинки, внизу средней части рукавов проходит световозвражающая полоса шириной 25 мм. Внизу шва настрачивания световозвращающей полосы проходит кант шириной 2-3 мм оранжевого цвета.</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b/>
                <w:kern w:val="0"/>
                <w:lang w:val="ru-RU" w:eastAsia="ru-RU" w:bidi="ar-SA"/>
              </w:rPr>
              <w:t>Брюки</w:t>
            </w:r>
            <w:r>
              <w:rPr>
                <w:rFonts w:cs="Times New Roman"/>
                <w:kern w:val="0"/>
                <w:lang w:val="ru-RU" w:eastAsia="ru-RU" w:bidi="ar-SA"/>
              </w:rPr>
              <w:t xml:space="preserve"> с притачной утепляющей подкладкой (ткань верха + спанбонд + 2 слоя утеплителя + спанбонд + подкладка ПЭ), с застежкой гульфика на тесьму – «молнию» и две петли и на поясе, с бретелями из эластичной тесьмы с логотипом «РусГидро», пристегивающимися на пластмассовые пряжки. По линии талии не менее пяти шлевок.</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Передние половинки брюк с широким поясом, с боковыми карманами с наклонным входом и с отрезным бочком, и объемными наколенниками.</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Задние половинки брюк со спинкой, с усилительными накладками в области среднего шва, отрезные под коленом и по линии талии собраны на эластичную тесьму.</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Притачная утепляющая подкладка с напульсниками из ветрозащитной ткани с латексной эластичной тесьмой внизу.</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Внизу боковых швов застежка на молнию с пуфтой.</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Низ брюк обработан швом в подгибку с закрытым срезом.</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Под наколенниками проходит охватывающая световозвращающая полоса шириной 25 мм. Внизу шва настрачивания световозвращающей полосы проходит кант шириной 2-3 мм оранжевого цвета.</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С изнаночной стороны на куртку и брюки настрочена лента «ФИО».</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b/>
              </w:rPr>
            </w:pPr>
            <w:r>
              <w:rPr>
                <w:rFonts w:cs="Times New Roman"/>
                <w:i/>
                <w:kern w:val="0"/>
                <w:lang w:val="ru-RU" w:eastAsia="ru-RU" w:bidi="ar-SA"/>
              </w:rPr>
              <w:t>Отделочные строчки выполнены нитками в цвет ткани, по которой проходит строчка.</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b/>
              </w:rPr>
            </w:pPr>
            <w:r>
              <w:rPr>
                <w:rFonts w:cs="Times New Roman"/>
                <w:b/>
                <w:kern w:val="0"/>
                <w:lang w:val="ru-RU" w:eastAsia="ru-RU" w:bidi="ar-SA"/>
              </w:rPr>
              <w:t>Применяемые материалы:</w:t>
            </w:r>
          </w:p>
          <w:p>
            <w:pPr>
              <w:pStyle w:val="ListParagraph"/>
              <w:widowControl w:val="false"/>
              <w:numPr>
                <w:ilvl w:val="3"/>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b/>
                <w:bCs/>
                <w:kern w:val="0"/>
                <w:lang w:val="ru-RU" w:eastAsia="ru-RU" w:bidi="ar-SA"/>
              </w:rPr>
              <w:t>Ткань верха:</w:t>
            </w:r>
            <w:r>
              <w:rPr>
                <w:rFonts w:cs="Times New Roman"/>
                <w:kern w:val="0"/>
                <w:lang w:val="ru-RU" w:eastAsia="ru-RU" w:bidi="ar-SA"/>
              </w:rPr>
              <w:t xml:space="preserve"> полиамидная мембранная, c водоотталкивающей отделкой, ветрозащитная, дышащая, с покрытием, переплетение рипстоп, состав сырья 100% ПА, плотность 180 (+10 г/м</w:t>
            </w:r>
            <w:r>
              <w:rPr>
                <w:rFonts w:cs="Times New Roman"/>
                <w:kern w:val="0"/>
                <w:vertAlign w:val="superscript"/>
                <w:lang w:val="ru-RU" w:eastAsia="ru-RU" w:bidi="ar-SA"/>
              </w:rPr>
              <w:t>2</w:t>
            </w:r>
            <w:r>
              <w:rPr>
                <w:rFonts w:cs="Times New Roman"/>
                <w:kern w:val="0"/>
                <w:lang w:val="ru-RU" w:eastAsia="ru-RU" w:bidi="ar-SA"/>
              </w:rPr>
              <w:t>)</w:t>
            </w:r>
            <w:r>
              <w:rPr>
                <w:rFonts w:cs="Times New Roman"/>
                <w:kern w:val="0"/>
                <w:vertAlign w:val="superscript"/>
                <w:lang w:val="ru-RU" w:eastAsia="ru-RU" w:bidi="ar-SA"/>
              </w:rPr>
              <w:t xml:space="preserve"> </w:t>
            </w:r>
            <w:r>
              <w:rPr>
                <w:rFonts w:cs="Times New Roman"/>
                <w:kern w:val="0"/>
                <w:lang w:val="ru-RU" w:eastAsia="ru-RU" w:bidi="ar-SA"/>
              </w:rPr>
              <w:t>г/м</w:t>
            </w:r>
            <w:r>
              <w:rPr>
                <w:rFonts w:cs="Times New Roman"/>
                <w:kern w:val="0"/>
                <w:vertAlign w:val="superscript"/>
                <w:lang w:val="ru-RU" w:eastAsia="ru-RU" w:bidi="ar-SA"/>
              </w:rPr>
              <w:t>2</w:t>
            </w:r>
          </w:p>
          <w:p>
            <w:pPr>
              <w:pStyle w:val="ListParagraph"/>
              <w:widowControl w:val="false"/>
              <w:numPr>
                <w:ilvl w:val="3"/>
                <w:numId w:val="9"/>
              </w:numPr>
              <w:tabs>
                <w:tab w:val="clear" w:pos="720"/>
                <w:tab w:val="left" w:pos="748" w:leader="none"/>
                <w:tab w:val="left" w:pos="882" w:leader="none"/>
                <w:tab w:val="left" w:pos="1307"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b/>
                <w:bCs/>
                <w:kern w:val="0"/>
                <w:lang w:val="ru-RU" w:eastAsia="ru-RU" w:bidi="ar-SA"/>
              </w:rPr>
              <w:t>Утеплитель:</w:t>
            </w:r>
            <w:r>
              <w:rPr>
                <w:rFonts w:cs="Times New Roman"/>
                <w:kern w:val="0"/>
                <w:lang w:val="ru-RU" w:eastAsia="ru-RU" w:bidi="ar-SA"/>
              </w:rPr>
              <w:t xml:space="preserve"> </w:t>
            </w:r>
            <w:r>
              <w:rPr>
                <w:rFonts w:cs="Times New Roman"/>
                <w:iCs/>
                <w:kern w:val="0"/>
                <w:lang w:val="ru-RU" w:eastAsia="ru-RU" w:bidi="ar-SA"/>
              </w:rPr>
              <w:t>синтетический с содержанием микроволокна не менее 70%, состав сырья 100% ПЭ, поверхностная плотность 100-150 г/ м2 в зависимости от климатического пояса</w:t>
            </w:r>
            <w:r>
              <w:rPr>
                <w:rFonts w:cs="Times New Roman"/>
                <w:kern w:val="0"/>
                <w:lang w:val="ru-RU" w:eastAsia="ru-RU" w:bidi="ar-SA"/>
              </w:rPr>
              <w:t>.</w:t>
            </w:r>
          </w:p>
          <w:p>
            <w:pPr>
              <w:pStyle w:val="ListParagraph"/>
              <w:widowControl w:val="false"/>
              <w:numPr>
                <w:ilvl w:val="3"/>
                <w:numId w:val="9"/>
              </w:numPr>
              <w:tabs>
                <w:tab w:val="clear" w:pos="720"/>
                <w:tab w:val="left" w:pos="748" w:leader="none"/>
                <w:tab w:val="left" w:pos="882" w:leader="none"/>
                <w:tab w:val="left" w:pos="1307"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b/>
                <w:kern w:val="0"/>
                <w:lang w:val="ru-RU" w:eastAsia="ru-RU" w:bidi="ar-SA"/>
              </w:rPr>
              <w:t xml:space="preserve"> </w:t>
            </w:r>
            <w:r>
              <w:rPr>
                <w:rFonts w:cs="Times New Roman"/>
                <w:b/>
                <w:kern w:val="0"/>
                <w:lang w:val="ru-RU" w:eastAsia="ru-RU" w:bidi="ar-SA"/>
              </w:rPr>
              <w:t>Спанбонд:</w:t>
            </w:r>
            <w:r>
              <w:rPr>
                <w:rFonts w:cs="Times New Roman"/>
                <w:kern w:val="0"/>
                <w:lang w:val="ru-RU" w:eastAsia="ru-RU" w:bidi="ar-SA"/>
              </w:rPr>
              <w:t xml:space="preserve"> нетканый материал для предотвращения миграции утеплителя, состав сырья 100%ПЭ.</w:t>
            </w:r>
          </w:p>
          <w:p>
            <w:pPr>
              <w:pStyle w:val="ListParagraph"/>
              <w:widowControl w:val="false"/>
              <w:numPr>
                <w:ilvl w:val="3"/>
                <w:numId w:val="9"/>
              </w:numPr>
              <w:tabs>
                <w:tab w:val="clear" w:pos="720"/>
                <w:tab w:val="left" w:pos="748" w:leader="none"/>
                <w:tab w:val="left" w:pos="882" w:leader="none"/>
                <w:tab w:val="left" w:pos="1307"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b/>
                <w:kern w:val="0"/>
                <w:lang w:val="ru-RU" w:eastAsia="ru-RU" w:bidi="ar-SA"/>
              </w:rPr>
              <w:t>Подкладка:</w:t>
            </w:r>
            <w:r>
              <w:rPr>
                <w:rFonts w:cs="Times New Roman"/>
                <w:kern w:val="0"/>
                <w:lang w:val="ru-RU" w:eastAsia="ru-RU" w:bidi="ar-SA"/>
              </w:rPr>
              <w:t xml:space="preserve"> состав сырья 100% ПЭ, плотность 60 г/м</w:t>
            </w:r>
            <w:r>
              <w:rPr>
                <w:rFonts w:cs="Times New Roman"/>
                <w:kern w:val="0"/>
                <w:vertAlign w:val="superscript"/>
                <w:lang w:val="ru-RU" w:eastAsia="ru-RU" w:bidi="ar-SA"/>
              </w:rPr>
              <w:t>2</w:t>
            </w:r>
            <w:r>
              <w:rPr>
                <w:rFonts w:cs="Times New Roman"/>
                <w:kern w:val="0"/>
                <w:lang w:val="ru-RU" w:eastAsia="ru-RU" w:bidi="ar-SA"/>
              </w:rPr>
              <w:t>, цвет темно-синий.</w:t>
            </w:r>
          </w:p>
          <w:p>
            <w:pPr>
              <w:pStyle w:val="ListParagraph"/>
              <w:widowControl w:val="false"/>
              <w:numPr>
                <w:ilvl w:val="3"/>
                <w:numId w:val="9"/>
              </w:numPr>
              <w:tabs>
                <w:tab w:val="clear" w:pos="720"/>
                <w:tab w:val="left" w:pos="748" w:leader="none"/>
                <w:tab w:val="left" w:pos="882" w:leader="none"/>
                <w:tab w:val="left" w:pos="1307"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b/>
                <w:kern w:val="0"/>
                <w:lang w:val="ru-RU" w:eastAsia="ru-RU" w:bidi="ar-SA"/>
              </w:rPr>
              <w:t>Сигнальные элементы</w:t>
            </w:r>
            <w:r>
              <w:rPr>
                <w:rFonts w:cs="Times New Roman"/>
                <w:kern w:val="0"/>
                <w:lang w:val="ru-RU" w:eastAsia="ru-RU" w:bidi="ar-SA"/>
              </w:rPr>
              <w:t>: полосы из световозвращающего материала шириной 25 мм.</w:t>
            </w:r>
          </w:p>
          <w:p>
            <w:pPr>
              <w:pStyle w:val="ListParagraph"/>
              <w:widowControl w:val="false"/>
              <w:numPr>
                <w:ilvl w:val="2"/>
                <w:numId w:val="9"/>
              </w:numPr>
              <w:tabs>
                <w:tab w:val="clear" w:pos="720"/>
                <w:tab w:val="left" w:pos="740" w:leader="none"/>
                <w:tab w:val="left" w:pos="882" w:leader="none"/>
              </w:tabs>
              <w:suppressAutoHyphens w:val="true"/>
              <w:spacing w:before="0" w:after="0"/>
              <w:ind w:left="31" w:hanging="0"/>
              <w:contextualSpacing/>
              <w:jc w:val="both"/>
              <w:rPr>
                <w:b/>
              </w:rPr>
            </w:pPr>
            <w:r>
              <w:rPr>
                <w:rFonts w:cs="Times New Roman"/>
                <w:b/>
                <w:kern w:val="0"/>
                <w:lang w:val="ru-RU" w:eastAsia="ru-RU" w:bidi="ar-SA"/>
              </w:rPr>
              <w:t>Пакет утеплителя в соответствии с климатическими поясами.</w:t>
            </w:r>
          </w:p>
          <w:tbl>
            <w:tblPr>
              <w:tblW w:w="5812" w:type="dxa"/>
              <w:jc w:val="left"/>
              <w:tblInd w:w="0" w:type="dxa"/>
              <w:tblLayout w:type="fixed"/>
              <w:tblCellMar>
                <w:top w:w="0" w:type="dxa"/>
                <w:left w:w="108" w:type="dxa"/>
                <w:bottom w:w="0" w:type="dxa"/>
                <w:right w:w="108" w:type="dxa"/>
              </w:tblCellMar>
              <w:tblLook w:val="04a0" w:noHBand="0" w:noVBand="1" w:firstColumn="1" w:lastRow="0" w:lastColumn="0" w:firstRow="1"/>
            </w:tblPr>
            <w:tblGrid>
              <w:gridCol w:w="2012"/>
              <w:gridCol w:w="3799"/>
            </w:tblGrid>
            <w:tr>
              <w:trPr>
                <w:trHeight w:val="222" w:hRule="atLeast"/>
              </w:trPr>
              <w:tc>
                <w:tcPr>
                  <w:tcW w:w="2012"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clear" w:pos="720"/>
                      <w:tab w:val="left" w:pos="748" w:leader="none"/>
                    </w:tabs>
                    <w:jc w:val="center"/>
                    <w:rPr>
                      <w:sz w:val="24"/>
                      <w:szCs w:val="24"/>
                    </w:rPr>
                  </w:pPr>
                  <w:r>
                    <w:rPr>
                      <w:sz w:val="24"/>
                      <w:szCs w:val="24"/>
                    </w:rPr>
                    <w:t>Климатический пояс</w:t>
                  </w:r>
                </w:p>
              </w:tc>
              <w:tc>
                <w:tcPr>
                  <w:tcW w:w="3799"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clear" w:pos="720"/>
                      <w:tab w:val="left" w:pos="748" w:leader="none"/>
                    </w:tabs>
                    <w:jc w:val="center"/>
                    <w:rPr>
                      <w:sz w:val="24"/>
                      <w:szCs w:val="24"/>
                    </w:rPr>
                  </w:pPr>
                  <w:r>
                    <w:rPr>
                      <w:sz w:val="24"/>
                      <w:szCs w:val="24"/>
                    </w:rPr>
                    <w:t>Пакет утеплителя</w:t>
                  </w:r>
                </w:p>
              </w:tc>
            </w:tr>
            <w:tr>
              <w:trPr>
                <w:trHeight w:val="437" w:hRule="atLeast"/>
              </w:trPr>
              <w:tc>
                <w:tcPr>
                  <w:tcW w:w="2012"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clear" w:pos="720"/>
                      <w:tab w:val="left" w:pos="748" w:leader="none"/>
                    </w:tabs>
                    <w:jc w:val="both"/>
                    <w:rPr>
                      <w:sz w:val="24"/>
                      <w:szCs w:val="24"/>
                    </w:rPr>
                  </w:pPr>
                  <w:r>
                    <w:rPr>
                      <w:sz w:val="24"/>
                      <w:szCs w:val="24"/>
                      <w:lang w:val="en-US"/>
                    </w:rPr>
                    <w:t>II</w:t>
                  </w:r>
                  <w:r>
                    <w:rPr>
                      <w:sz w:val="24"/>
                      <w:szCs w:val="24"/>
                    </w:rPr>
                    <w:t xml:space="preserve">, </w:t>
                  </w:r>
                  <w:r>
                    <w:rPr>
                      <w:sz w:val="24"/>
                      <w:szCs w:val="24"/>
                      <w:lang w:val="en-US"/>
                    </w:rPr>
                    <w:t>III</w:t>
                  </w:r>
                </w:p>
                <w:p>
                  <w:pPr>
                    <w:pStyle w:val="Normal"/>
                    <w:widowControl w:val="false"/>
                    <w:tabs>
                      <w:tab w:val="clear" w:pos="720"/>
                      <w:tab w:val="left" w:pos="748" w:leader="none"/>
                    </w:tabs>
                    <w:jc w:val="both"/>
                    <w:rPr>
                      <w:sz w:val="24"/>
                      <w:szCs w:val="24"/>
                    </w:rPr>
                  </w:pPr>
                  <w:r>
                    <w:rPr>
                      <w:sz w:val="24"/>
                      <w:szCs w:val="24"/>
                    </w:rPr>
                    <w:t>климатический пояс</w:t>
                  </w:r>
                </w:p>
              </w:tc>
              <w:tc>
                <w:tcPr>
                  <w:tcW w:w="3799"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clear" w:pos="720"/>
                      <w:tab w:val="left" w:pos="748" w:leader="none"/>
                    </w:tabs>
                    <w:jc w:val="both"/>
                    <w:rPr>
                      <w:sz w:val="24"/>
                      <w:szCs w:val="24"/>
                    </w:rPr>
                  </w:pPr>
                  <w:r>
                    <w:rPr>
                      <w:sz w:val="24"/>
                      <w:szCs w:val="24"/>
                    </w:rPr>
                    <w:t>Куртка: утеплитель 3 слоя плотность не менее 100 г/м2 + ветрозащита</w:t>
                  </w:r>
                </w:p>
                <w:p>
                  <w:pPr>
                    <w:pStyle w:val="Normal"/>
                    <w:widowControl w:val="false"/>
                    <w:tabs>
                      <w:tab w:val="clear" w:pos="720"/>
                      <w:tab w:val="left" w:pos="748" w:leader="none"/>
                    </w:tabs>
                    <w:jc w:val="both"/>
                    <w:rPr>
                      <w:sz w:val="24"/>
                      <w:szCs w:val="24"/>
                    </w:rPr>
                  </w:pPr>
                  <w:r>
                    <w:rPr>
                      <w:sz w:val="24"/>
                      <w:szCs w:val="24"/>
                    </w:rPr>
                    <w:t>Брюки: утеплитель 2  слоя плотность не менее 100 г/м2 + ветрозащита</w:t>
                  </w:r>
                </w:p>
              </w:tc>
            </w:tr>
          </w:tbl>
          <w:p>
            <w:pPr>
              <w:pStyle w:val="ListParagraph"/>
              <w:widowControl w:val="false"/>
              <w:numPr>
                <w:ilvl w:val="2"/>
                <w:numId w:val="9"/>
              </w:numPr>
              <w:tabs>
                <w:tab w:val="clear" w:pos="720"/>
                <w:tab w:val="left" w:pos="748" w:leader="none"/>
                <w:tab w:val="left" w:pos="882" w:leader="none"/>
              </w:tabs>
              <w:suppressAutoHyphens w:val="true"/>
              <w:spacing w:before="0" w:after="0"/>
              <w:ind w:left="31" w:hanging="0"/>
              <w:contextualSpacing/>
              <w:jc w:val="both"/>
              <w:rPr>
                <w:rFonts w:ascii="Times New Roman" w:hAnsi="Times New Roman" w:cs="Times New Roman"/>
                <w:kern w:val="0"/>
                <w:lang w:val="ru-RU" w:eastAsia="ru-RU" w:bidi="ar-SA"/>
              </w:rPr>
            </w:pPr>
            <w:r>
              <w:rPr>
                <w:rFonts w:cs="Times New Roman"/>
                <w:kern w:val="0"/>
                <w:lang w:val="ru-RU" w:eastAsia="ru-RU" w:bidi="ar-SA"/>
              </w:rPr>
              <w:t>Изготовитель в эксплуатационной документации к СИЗ от воздействия пониженной температуры должен указывать условия эксплуатации во всех указанных климатических поясах.</w:t>
            </w:r>
          </w:p>
          <w:p>
            <w:pPr>
              <w:pStyle w:val="ListParagraph"/>
              <w:widowControl w:val="false"/>
              <w:numPr>
                <w:ilvl w:val="2"/>
                <w:numId w:val="9"/>
              </w:numPr>
              <w:tabs>
                <w:tab w:val="clear" w:pos="720"/>
                <w:tab w:val="left" w:pos="748" w:leader="none"/>
                <w:tab w:val="left" w:pos="882" w:leader="none"/>
              </w:tabs>
              <w:suppressAutoHyphens w:val="true"/>
              <w:spacing w:before="0" w:after="0"/>
              <w:ind w:left="31" w:hanging="0"/>
              <w:contextualSpacing/>
              <w:jc w:val="both"/>
              <w:rPr>
                <w:rFonts w:ascii="Times New Roman" w:hAnsi="Times New Roman" w:cs="Times New Roman"/>
                <w:kern w:val="0"/>
                <w:lang w:val="ru-RU" w:eastAsia="ru-RU" w:bidi="ar-SA"/>
              </w:rPr>
            </w:pPr>
            <w:r>
              <w:rPr>
                <w:rFonts w:cs="Times New Roman"/>
                <w:kern w:val="0"/>
                <w:lang w:val="ru-RU" w:eastAsia="ru-RU" w:bidi="ar-SA"/>
              </w:rPr>
              <w:t>Обязательная форма подтверждения соответствия ТР ТС 019-2011 – сертификат соответствия (предоставляется при поставке СИЗ).</w:t>
            </w:r>
          </w:p>
          <w:p>
            <w:pPr>
              <w:pStyle w:val="ListParagraph"/>
              <w:widowControl w:val="false"/>
              <w:numPr>
                <w:ilvl w:val="2"/>
                <w:numId w:val="9"/>
              </w:numPr>
              <w:tabs>
                <w:tab w:val="clear" w:pos="720"/>
                <w:tab w:val="left" w:pos="748" w:leader="none"/>
                <w:tab w:val="left" w:pos="882" w:leader="none"/>
              </w:tabs>
              <w:suppressAutoHyphens w:val="true"/>
              <w:spacing w:before="0" w:after="0"/>
              <w:ind w:left="31" w:hanging="0"/>
              <w:contextualSpacing/>
              <w:jc w:val="both"/>
              <w:rPr>
                <w:rFonts w:ascii="Times New Roman" w:hAnsi="Times New Roman" w:cs="Times New Roman"/>
                <w:kern w:val="0"/>
                <w:lang w:val="ru-RU" w:eastAsia="ru-RU" w:bidi="ar-SA"/>
              </w:rPr>
            </w:pPr>
            <w:r>
              <w:rPr>
                <w:rFonts w:cs="Times New Roman"/>
                <w:i/>
                <w:kern w:val="0"/>
                <w:lang w:val="ru-RU" w:eastAsia="ru-RU" w:bidi="ar-SA"/>
              </w:rPr>
              <w:t>Эскиз образца костюма на утепляющей прокладке для защиты от ОПЗ для ИТР приведен в Приложении № 1 к настоящим ТТ.</w:t>
            </w:r>
          </w:p>
          <w:p>
            <w:pPr>
              <w:pStyle w:val="ListParagraph"/>
              <w:widowControl w:val="false"/>
              <w:numPr>
                <w:ilvl w:val="0"/>
                <w:numId w:val="0"/>
              </w:numPr>
              <w:tabs>
                <w:tab w:val="clear" w:pos="720"/>
                <w:tab w:val="left" w:pos="457" w:leader="none"/>
                <w:tab w:val="left" w:pos="598" w:leader="none"/>
                <w:tab w:val="left" w:pos="740" w:leader="none"/>
                <w:tab w:val="left" w:pos="1024" w:leader="none"/>
              </w:tabs>
              <w:suppressAutoHyphens w:val="true"/>
              <w:spacing w:before="0" w:after="0"/>
              <w:ind w:left="31" w:hanging="0"/>
              <w:contextualSpacing/>
              <w:jc w:val="both"/>
              <w:rPr>
                <w:i w:val="false"/>
                <w:i w:val="false"/>
                <w:iCs w:val="false"/>
              </w:rPr>
            </w:pPr>
            <w:r>
              <w:rPr>
                <w:rFonts w:cs="Times New Roman"/>
                <w:i w:val="false"/>
                <w:iCs w:val="false"/>
                <w:kern w:val="0"/>
                <w:lang w:val="ru-RU" w:eastAsia="ru-RU" w:bidi="ar-SA"/>
              </w:rPr>
              <w:t>2.4.26 В составе документации на закупку предоставляется протокол испытаний СИЗ (прочность, защитные свойства).</w:t>
            </w:r>
          </w:p>
        </w:tc>
        <w:tc>
          <w:tcPr>
            <w:tcW w:w="2012" w:type="dxa"/>
            <w:tcBorders/>
            <w:shd w:color="auto" w:fill="auto" w:val="clear"/>
          </w:tcPr>
          <w:p>
            <w:pPr>
              <w:pStyle w:val="Normal"/>
              <w:widowControl w:val="false"/>
              <w:suppressAutoHyphens w:val="true"/>
              <w:spacing w:before="0" w:after="0"/>
              <w:jc w:val="center"/>
              <w:rPr>
                <w:i/>
                <w:i/>
                <w:sz w:val="24"/>
                <w:szCs w:val="24"/>
              </w:rPr>
            </w:pPr>
            <w:r>
              <w:rPr>
                <w:rFonts w:eastAsia="Times New Roman" w:cs="Times New Roman"/>
                <w:i/>
                <w:kern w:val="0"/>
                <w:sz w:val="24"/>
                <w:szCs w:val="24"/>
                <w:lang w:val="ru-RU" w:eastAsia="ru-RU" w:bidi="ar-SA"/>
              </w:rPr>
              <w:t xml:space="preserve">Согласие с требованием </w:t>
            </w:r>
          </w:p>
        </w:tc>
        <w:tc>
          <w:tcPr>
            <w:tcW w:w="2331" w:type="dxa"/>
            <w:tcBorders/>
            <w:shd w:color="auto" w:fill="auto" w:val="clear"/>
          </w:tcPr>
          <w:p>
            <w:pPr>
              <w:pStyle w:val="Normal"/>
              <w:widowControl w:val="false"/>
              <w:suppressAutoHyphens w:val="true"/>
              <w:spacing w:before="0" w:after="0"/>
              <w:jc w:val="center"/>
              <w:rPr>
                <w:sz w:val="24"/>
                <w:szCs w:val="24"/>
              </w:rPr>
            </w:pPr>
            <w:r>
              <w:rPr>
                <w:rFonts w:eastAsia="Times New Roman" w:cs="Times New Roman"/>
                <w:kern w:val="0"/>
                <w:sz w:val="24"/>
                <w:szCs w:val="24"/>
                <w:lang w:val="ru-RU" w:eastAsia="ru-RU" w:bidi="ar-SA"/>
              </w:rPr>
              <w:t xml:space="preserve"> –  </w:t>
            </w:r>
          </w:p>
        </w:tc>
      </w:tr>
      <w:tr>
        <w:trPr/>
        <w:tc>
          <w:tcPr>
            <w:tcW w:w="889" w:type="dxa"/>
            <w:tcBorders/>
          </w:tcPr>
          <w:p>
            <w:pPr>
              <w:pStyle w:val="ListParagraph"/>
              <w:widowControl w:val="false"/>
              <w:numPr>
                <w:ilvl w:val="1"/>
                <w:numId w:val="9"/>
              </w:numPr>
              <w:suppressAutoHyphens w:val="true"/>
              <w:spacing w:before="60" w:after="60"/>
              <w:ind w:left="-117" w:firstLine="142"/>
              <w:contextualSpacing/>
              <w:jc w:val="center"/>
              <w:rPr>
                <w:rFonts w:ascii="Times New Roman" w:hAnsi="Times New Roman" w:cs="Times New Roman"/>
                <w:kern w:val="0"/>
                <w:lang w:val="ru-RU" w:eastAsia="ru-RU" w:bidi="ar-SA"/>
              </w:rPr>
            </w:pPr>
            <w:r>
              <w:rPr>
                <w:rFonts w:cs="Times New Roman"/>
                <w:kern w:val="0"/>
                <w:lang w:val="ru-RU" w:eastAsia="ru-RU" w:bidi="ar-SA"/>
              </w:rPr>
            </w:r>
          </w:p>
        </w:tc>
        <w:tc>
          <w:tcPr>
            <w:tcW w:w="1980" w:type="dxa"/>
            <w:tcBorders/>
            <w:shd w:color="auto" w:fill="auto" w:val="clear"/>
          </w:tcPr>
          <w:p>
            <w:pPr>
              <w:pStyle w:val="Normal"/>
              <w:widowControl w:val="false"/>
              <w:suppressAutoHyphens w:val="true"/>
              <w:spacing w:before="0" w:after="0"/>
              <w:jc w:val="left"/>
              <w:rPr>
                <w:sz w:val="24"/>
                <w:szCs w:val="24"/>
              </w:rPr>
            </w:pPr>
            <w:r>
              <w:rPr>
                <w:rFonts w:eastAsia="Times New Roman" w:cs="Times New Roman"/>
                <w:kern w:val="0"/>
                <w:sz w:val="24"/>
                <w:szCs w:val="24"/>
                <w:lang w:val="ru-RU" w:eastAsia="ru-RU" w:bidi="ar-SA"/>
              </w:rPr>
              <w:t>Требования к каске защитной с храповиком (цвет белый для ИТР, цвет оранжевый для рабочих).</w:t>
            </w:r>
          </w:p>
          <w:p>
            <w:pPr>
              <w:pStyle w:val="Normal"/>
              <w:widowControl w:val="false"/>
              <w:suppressAutoHyphens w:val="true"/>
              <w:spacing w:before="0" w:after="0"/>
              <w:jc w:val="left"/>
              <w:rPr>
                <w:sz w:val="24"/>
                <w:szCs w:val="24"/>
              </w:rPr>
            </w:pPr>
            <w:r>
              <w:rPr>
                <w:rFonts w:eastAsia="Times New Roman" w:cs="Times New Roman"/>
                <w:kern w:val="0"/>
                <w:sz w:val="24"/>
                <w:szCs w:val="24"/>
                <w:lang w:val="ru-RU" w:eastAsia="ru-RU" w:bidi="ar-SA"/>
              </w:rPr>
              <w:t>(</w:t>
            </w:r>
            <w:r>
              <w:rPr>
                <w:rFonts w:eastAsia="Times New Roman" w:cs="Times New Roman"/>
                <w:i/>
                <w:kern w:val="0"/>
                <w:sz w:val="24"/>
                <w:szCs w:val="24"/>
                <w:lang w:val="ru-RU" w:eastAsia="ru-RU" w:bidi="ar-SA"/>
              </w:rPr>
              <w:t>Позиции 5, 6 в Таблице 1.1 настоящих ТТ</w:t>
            </w:r>
          </w:p>
        </w:tc>
        <w:tc>
          <w:tcPr>
            <w:tcW w:w="8313" w:type="dxa"/>
            <w:tcBorders/>
            <w:shd w:color="auto" w:fill="auto" w:val="clear"/>
          </w:tcPr>
          <w:p>
            <w:pPr>
              <w:pStyle w:val="ListParagraph"/>
              <w:widowControl w:val="false"/>
              <w:numPr>
                <w:ilvl w:val="2"/>
                <w:numId w:val="9"/>
              </w:numPr>
              <w:tabs>
                <w:tab w:val="clear" w:pos="720"/>
                <w:tab w:val="left" w:pos="740" w:leader="none"/>
                <w:tab w:val="left" w:pos="882" w:leader="none"/>
              </w:tabs>
              <w:suppressAutoHyphens w:val="true"/>
              <w:spacing w:before="0" w:after="0"/>
              <w:ind w:left="31" w:firstLine="11"/>
              <w:contextualSpacing/>
              <w:jc w:val="both"/>
              <w:rPr>
                <w:rFonts w:ascii="Times New Roman" w:hAnsi="Times New Roman" w:cs="Times New Roman"/>
                <w:kern w:val="0"/>
                <w:lang w:val="ru-RU" w:eastAsia="ru-RU" w:bidi="ar-SA"/>
              </w:rPr>
            </w:pPr>
            <w:r>
              <w:rPr>
                <w:rFonts w:cs="Times New Roman"/>
                <w:kern w:val="0"/>
                <w:lang w:val="ru-RU" w:eastAsia="ru-RU" w:bidi="ar-SA"/>
              </w:rPr>
              <w:t>Каска защитная с храповиком. Состоит из ударопрочного корпуса, выполненного из термопластичного материала.</w:t>
            </w:r>
          </w:p>
          <w:p>
            <w:pPr>
              <w:pStyle w:val="ListParagraph"/>
              <w:widowControl w:val="false"/>
              <w:numPr>
                <w:ilvl w:val="2"/>
                <w:numId w:val="9"/>
              </w:numPr>
              <w:tabs>
                <w:tab w:val="clear" w:pos="720"/>
                <w:tab w:val="left" w:pos="740" w:leader="none"/>
                <w:tab w:val="left" w:pos="882" w:leader="none"/>
              </w:tabs>
              <w:suppressAutoHyphens w:val="true"/>
              <w:spacing w:before="0" w:after="0"/>
              <w:ind w:left="31" w:firstLine="11"/>
              <w:contextualSpacing/>
              <w:jc w:val="both"/>
              <w:rPr>
                <w:rFonts w:ascii="Times New Roman" w:hAnsi="Times New Roman" w:cs="Times New Roman"/>
                <w:kern w:val="0"/>
                <w:lang w:val="ru-RU" w:eastAsia="ru-RU" w:bidi="ar-SA"/>
              </w:rPr>
            </w:pPr>
            <w:r>
              <w:rPr>
                <w:rFonts w:cs="Times New Roman"/>
                <w:kern w:val="0"/>
                <w:lang w:val="ru-RU" w:eastAsia="ru-RU" w:bidi="ar-SA"/>
              </w:rPr>
              <w:t>Каска оснащена козырьком, водосточным желобком, внутренней оснасткой, наголовным креплением и подбородочным ремнем. Крепления подбородочного ремня в 4-х точках. Конструкция предполагает применение дополнительных СИЗ: наушников, лицевых щитков, щитков сварщика, подшлемника.</w:t>
            </w:r>
          </w:p>
          <w:p>
            <w:pPr>
              <w:pStyle w:val="ListParagraph"/>
              <w:widowControl w:val="false"/>
              <w:numPr>
                <w:ilvl w:val="2"/>
                <w:numId w:val="9"/>
              </w:numPr>
              <w:tabs>
                <w:tab w:val="clear" w:pos="720"/>
                <w:tab w:val="left" w:pos="740" w:leader="none"/>
                <w:tab w:val="left" w:pos="882" w:leader="none"/>
              </w:tabs>
              <w:suppressAutoHyphens w:val="true"/>
              <w:spacing w:before="0" w:after="0"/>
              <w:ind w:left="31" w:firstLine="11"/>
              <w:contextualSpacing/>
              <w:jc w:val="both"/>
              <w:rPr>
                <w:rFonts w:ascii="Times New Roman" w:hAnsi="Times New Roman" w:cs="Times New Roman"/>
                <w:kern w:val="0"/>
                <w:lang w:val="ru-RU" w:eastAsia="ru-RU" w:bidi="ar-SA"/>
              </w:rPr>
            </w:pPr>
            <w:r>
              <w:rPr>
                <w:rFonts w:cs="Times New Roman"/>
                <w:kern w:val="0"/>
                <w:lang w:val="ru-RU" w:eastAsia="ru-RU" w:bidi="ar-SA"/>
              </w:rPr>
              <w:t>Регулировка по размеру головы (53–65 см).</w:t>
            </w:r>
          </w:p>
          <w:p>
            <w:pPr>
              <w:pStyle w:val="ListParagraph"/>
              <w:widowControl w:val="false"/>
              <w:numPr>
                <w:ilvl w:val="2"/>
                <w:numId w:val="9"/>
              </w:numPr>
              <w:tabs>
                <w:tab w:val="clear" w:pos="720"/>
                <w:tab w:val="left" w:pos="740" w:leader="none"/>
                <w:tab w:val="left" w:pos="882" w:leader="none"/>
              </w:tabs>
              <w:suppressAutoHyphens w:val="true"/>
              <w:spacing w:before="0" w:after="0"/>
              <w:ind w:left="31" w:firstLine="11"/>
              <w:contextualSpacing/>
              <w:jc w:val="both"/>
              <w:rPr>
                <w:rFonts w:ascii="Times New Roman" w:hAnsi="Times New Roman" w:cs="Times New Roman"/>
                <w:kern w:val="0"/>
                <w:lang w:val="ru-RU" w:eastAsia="ru-RU" w:bidi="ar-SA"/>
              </w:rPr>
            </w:pPr>
            <w:r>
              <w:rPr>
                <w:rFonts w:cs="Times New Roman"/>
                <w:kern w:val="0"/>
                <w:lang w:val="ru-RU" w:eastAsia="ru-RU" w:bidi="ar-SA"/>
              </w:rPr>
              <w:t>Каска сохраняет защитные свойства при температуре от -50°С до +50°С.</w:t>
            </w:r>
          </w:p>
          <w:p>
            <w:pPr>
              <w:pStyle w:val="ListParagraph"/>
              <w:widowControl w:val="false"/>
              <w:numPr>
                <w:ilvl w:val="2"/>
                <w:numId w:val="9"/>
              </w:numPr>
              <w:tabs>
                <w:tab w:val="clear" w:pos="720"/>
                <w:tab w:val="left" w:pos="740" w:leader="none"/>
                <w:tab w:val="left" w:pos="882" w:leader="none"/>
              </w:tabs>
              <w:suppressAutoHyphens w:val="true"/>
              <w:spacing w:before="0" w:after="0"/>
              <w:ind w:left="31" w:firstLine="11"/>
              <w:contextualSpacing/>
              <w:jc w:val="both"/>
              <w:rPr>
                <w:rFonts w:ascii="Times New Roman" w:hAnsi="Times New Roman" w:cs="Times New Roman"/>
                <w:kern w:val="0"/>
                <w:lang w:val="ru-RU" w:eastAsia="ru-RU" w:bidi="ar-SA"/>
              </w:rPr>
            </w:pPr>
            <w:r>
              <w:rPr>
                <w:rFonts w:cs="Times New Roman"/>
                <w:b/>
                <w:bCs/>
                <w:kern w:val="0"/>
                <w:lang w:val="ru-RU" w:eastAsia="ru-RU" w:bidi="ar-SA"/>
              </w:rPr>
              <w:t>Защитные свойства:</w:t>
            </w:r>
            <w:r>
              <w:rPr>
                <w:rFonts w:cs="Times New Roman"/>
                <w:kern w:val="0"/>
                <w:lang w:val="ru-RU" w:eastAsia="ru-RU" w:bidi="ar-SA"/>
              </w:rPr>
              <w:t xml:space="preserve"> предназначена для защиты головы от механических повреждений (устойчива к боковой деформации), воздействия влаги, брызг металла, связанных с риском травмы головы.</w:t>
            </w:r>
          </w:p>
          <w:p>
            <w:pPr>
              <w:pStyle w:val="ListParagraph"/>
              <w:widowControl w:val="false"/>
              <w:numPr>
                <w:ilvl w:val="2"/>
                <w:numId w:val="9"/>
              </w:numPr>
              <w:tabs>
                <w:tab w:val="clear" w:pos="720"/>
                <w:tab w:val="left" w:pos="740" w:leader="none"/>
                <w:tab w:val="left" w:pos="882" w:leader="none"/>
              </w:tabs>
              <w:suppressAutoHyphens w:val="true"/>
              <w:spacing w:before="0" w:after="0"/>
              <w:ind w:left="31" w:firstLine="11"/>
              <w:contextualSpacing/>
              <w:jc w:val="both"/>
              <w:rPr>
                <w:rFonts w:ascii="Times New Roman" w:hAnsi="Times New Roman" w:cs="Times New Roman"/>
                <w:kern w:val="0"/>
                <w:lang w:val="ru-RU" w:eastAsia="ru-RU" w:bidi="ar-SA"/>
              </w:rPr>
            </w:pPr>
            <w:r>
              <w:rPr>
                <w:rFonts w:cs="Times New Roman"/>
                <w:b/>
                <w:bCs/>
                <w:kern w:val="0"/>
                <w:lang w:val="ru-RU" w:eastAsia="ru-RU" w:bidi="ar-SA"/>
              </w:rPr>
              <w:t xml:space="preserve">Масса каски в сборе: </w:t>
            </w:r>
            <w:r>
              <w:rPr>
                <w:rFonts w:cs="Times New Roman"/>
                <w:bCs/>
                <w:kern w:val="0"/>
                <w:lang w:val="ru-RU" w:eastAsia="ru-RU" w:bidi="ar-SA"/>
              </w:rPr>
              <w:t>не более</w:t>
            </w:r>
            <w:r>
              <w:rPr>
                <w:rFonts w:cs="Times New Roman"/>
                <w:b/>
                <w:bCs/>
                <w:kern w:val="0"/>
                <w:lang w:val="ru-RU" w:eastAsia="ru-RU" w:bidi="ar-SA"/>
              </w:rPr>
              <w:t xml:space="preserve"> </w:t>
            </w:r>
            <w:r>
              <w:rPr>
                <w:rFonts w:cs="Times New Roman"/>
                <w:kern w:val="0"/>
                <w:lang w:val="ru-RU" w:eastAsia="ru-RU" w:bidi="ar-SA"/>
              </w:rPr>
              <w:t>360 г.</w:t>
            </w:r>
          </w:p>
          <w:p>
            <w:pPr>
              <w:pStyle w:val="ListParagraph"/>
              <w:widowControl w:val="false"/>
              <w:numPr>
                <w:ilvl w:val="2"/>
                <w:numId w:val="9"/>
              </w:numPr>
              <w:tabs>
                <w:tab w:val="clear" w:pos="720"/>
                <w:tab w:val="left" w:pos="740" w:leader="none"/>
                <w:tab w:val="left" w:pos="882" w:leader="none"/>
              </w:tabs>
              <w:suppressAutoHyphens w:val="true"/>
              <w:spacing w:before="0" w:after="0"/>
              <w:ind w:left="31" w:firstLine="11"/>
              <w:contextualSpacing/>
              <w:jc w:val="both"/>
              <w:rPr>
                <w:rFonts w:ascii="Times New Roman" w:hAnsi="Times New Roman" w:cs="Times New Roman"/>
                <w:kern w:val="0"/>
                <w:lang w:val="ru-RU" w:eastAsia="ru-RU" w:bidi="ar-SA"/>
              </w:rPr>
            </w:pPr>
            <w:r>
              <w:rPr>
                <w:rFonts w:cs="Times New Roman"/>
                <w:b/>
                <w:kern w:val="0"/>
                <w:lang w:val="ru-RU" w:eastAsia="ru-RU" w:bidi="ar-SA"/>
              </w:rPr>
              <w:t>Цвет</w:t>
            </w:r>
            <w:r>
              <w:rPr>
                <w:rFonts w:cs="Times New Roman"/>
                <w:kern w:val="0"/>
                <w:lang w:val="ru-RU" w:eastAsia="ru-RU" w:bidi="ar-SA"/>
              </w:rPr>
              <w:t xml:space="preserve"> – белый  для ИТР, оранжевый  для рабочих.</w:t>
            </w:r>
          </w:p>
          <w:p>
            <w:pPr>
              <w:pStyle w:val="ListParagraph"/>
              <w:widowControl w:val="false"/>
              <w:numPr>
                <w:ilvl w:val="2"/>
                <w:numId w:val="9"/>
              </w:numPr>
              <w:tabs>
                <w:tab w:val="clear" w:pos="720"/>
                <w:tab w:val="left" w:pos="740" w:leader="none"/>
                <w:tab w:val="left" w:pos="882" w:leader="none"/>
              </w:tabs>
              <w:suppressAutoHyphens w:val="true"/>
              <w:spacing w:before="0" w:after="0"/>
              <w:ind w:left="31" w:firstLine="11"/>
              <w:contextualSpacing/>
              <w:jc w:val="both"/>
              <w:rPr>
                <w:rFonts w:ascii="Times New Roman" w:hAnsi="Times New Roman" w:cs="Times New Roman"/>
                <w:kern w:val="0"/>
                <w:lang w:val="ru-RU" w:eastAsia="ru-RU" w:bidi="ar-SA"/>
              </w:rPr>
            </w:pPr>
            <w:r>
              <w:rPr>
                <w:rFonts w:cs="Times New Roman"/>
                <w:kern w:val="0"/>
                <w:lang w:val="ru-RU" w:eastAsia="ru-RU" w:bidi="ar-SA"/>
              </w:rPr>
              <w:t>Все каски выполняются в корпоративном стиле Группы РусГидро. Место нанесения фирменной символики – лобная часть каски.</w:t>
            </w:r>
          </w:p>
          <w:p>
            <w:pPr>
              <w:pStyle w:val="ListParagraph"/>
              <w:widowControl w:val="false"/>
              <w:numPr>
                <w:ilvl w:val="2"/>
                <w:numId w:val="9"/>
              </w:numPr>
              <w:tabs>
                <w:tab w:val="clear" w:pos="720"/>
                <w:tab w:val="left" w:pos="740" w:leader="none"/>
                <w:tab w:val="left" w:pos="882" w:leader="none"/>
              </w:tabs>
              <w:suppressAutoHyphens w:val="true"/>
              <w:spacing w:before="0" w:after="0"/>
              <w:ind w:left="31" w:firstLine="11"/>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Обязательная форма подтверждения соответствия </w:t>
            </w:r>
            <w:r>
              <w:rPr>
                <w:rFonts w:cs="Times New Roman"/>
                <w:bCs/>
                <w:kern w:val="0"/>
                <w:lang w:val="ru-RU" w:eastAsia="ru-RU" w:bidi="ar-SA"/>
              </w:rPr>
              <w:t xml:space="preserve">ТР ТС 019/2011 </w:t>
            </w:r>
            <w:r>
              <w:rPr>
                <w:rFonts w:cs="Times New Roman"/>
                <w:kern w:val="0"/>
                <w:lang w:val="ru-RU" w:eastAsia="ru-RU" w:bidi="ar-SA"/>
              </w:rPr>
              <w:t>– сертификат соответствия (предоставляется при поставке СИЗ)</w:t>
            </w:r>
            <w:r>
              <w:rPr>
                <w:rFonts w:cs="Times New Roman"/>
                <w:bCs/>
                <w:kern w:val="0"/>
                <w:lang w:val="ru-RU" w:eastAsia="ru-RU" w:bidi="ar-SA"/>
              </w:rPr>
              <w:t>.</w:t>
            </w:r>
          </w:p>
          <w:p>
            <w:pPr>
              <w:pStyle w:val="ListParagraph"/>
              <w:widowControl w:val="false"/>
              <w:numPr>
                <w:ilvl w:val="2"/>
              </w:numPr>
              <w:tabs>
                <w:tab w:val="clear" w:pos="720"/>
                <w:tab w:val="left" w:pos="457" w:leader="none"/>
                <w:tab w:val="left" w:pos="598" w:leader="none"/>
                <w:tab w:val="left" w:pos="740" w:leader="none"/>
                <w:tab w:val="left" w:pos="1024" w:leader="none"/>
              </w:tabs>
              <w:suppressAutoHyphens w:val="true"/>
              <w:spacing w:before="0" w:after="0"/>
              <w:ind w:left="31" w:hanging="28"/>
              <w:contextualSpacing/>
              <w:jc w:val="both"/>
              <w:rPr>
                <w:i w:val="false"/>
                <w:i w:val="false"/>
                <w:iCs w:val="false"/>
              </w:rPr>
            </w:pPr>
            <w:r>
              <w:rPr>
                <w:i w:val="false"/>
                <w:iCs w:val="false"/>
              </w:rPr>
              <w:t>2.3.10 В составе документации на закупку предоставляется протокол испытаний  СИЗ (защитные свойства).</w:t>
            </w:r>
          </w:p>
        </w:tc>
        <w:tc>
          <w:tcPr>
            <w:tcW w:w="2012" w:type="dxa"/>
            <w:tcBorders/>
            <w:shd w:color="auto" w:fill="auto" w:val="clear"/>
          </w:tcPr>
          <w:p>
            <w:pPr>
              <w:pStyle w:val="Normal"/>
              <w:widowControl w:val="false"/>
              <w:suppressAutoHyphens w:val="true"/>
              <w:spacing w:before="0" w:after="0"/>
              <w:jc w:val="center"/>
              <w:rPr>
                <w:i/>
                <w:i/>
                <w:sz w:val="24"/>
                <w:szCs w:val="24"/>
              </w:rPr>
            </w:pPr>
            <w:r>
              <w:rPr>
                <w:rFonts w:eastAsia="Times New Roman" w:cs="Times New Roman"/>
                <w:i/>
                <w:kern w:val="0"/>
                <w:sz w:val="24"/>
                <w:szCs w:val="24"/>
                <w:lang w:val="ru-RU" w:eastAsia="ru-RU" w:bidi="ar-SA"/>
              </w:rPr>
              <w:t>Согласие с требованием</w:t>
            </w:r>
          </w:p>
        </w:tc>
        <w:tc>
          <w:tcPr>
            <w:tcW w:w="2331" w:type="dxa"/>
            <w:tcBorders/>
            <w:shd w:color="auto" w:fill="auto" w:val="clear"/>
          </w:tcPr>
          <w:p>
            <w:pPr>
              <w:pStyle w:val="Normal"/>
              <w:widowControl w:val="false"/>
              <w:suppressAutoHyphens w:val="true"/>
              <w:spacing w:before="0" w:after="0"/>
              <w:jc w:val="center"/>
              <w:rPr>
                <w:sz w:val="24"/>
                <w:szCs w:val="24"/>
              </w:rPr>
            </w:pPr>
            <w:r>
              <w:rPr>
                <w:rFonts w:eastAsia="Times New Roman" w:cs="Times New Roman"/>
                <w:kern w:val="0"/>
                <w:sz w:val="24"/>
                <w:szCs w:val="24"/>
                <w:lang w:val="ru-RU" w:eastAsia="ru-RU" w:bidi="ar-SA"/>
              </w:rPr>
              <w:t xml:space="preserve"> –  </w:t>
            </w:r>
          </w:p>
        </w:tc>
      </w:tr>
      <w:tr>
        <w:trPr/>
        <w:tc>
          <w:tcPr>
            <w:tcW w:w="889" w:type="dxa"/>
            <w:tcBorders/>
          </w:tcPr>
          <w:p>
            <w:pPr>
              <w:pStyle w:val="ListParagraph"/>
              <w:widowControl w:val="false"/>
              <w:numPr>
                <w:ilvl w:val="1"/>
                <w:numId w:val="9"/>
              </w:numPr>
              <w:suppressAutoHyphens w:val="true"/>
              <w:spacing w:before="60" w:after="60"/>
              <w:ind w:left="-117" w:firstLine="142"/>
              <w:contextualSpacing/>
              <w:jc w:val="center"/>
              <w:rPr>
                <w:rFonts w:ascii="Times New Roman" w:hAnsi="Times New Roman" w:cs="Times New Roman"/>
                <w:kern w:val="0"/>
                <w:lang w:val="ru-RU" w:eastAsia="ru-RU" w:bidi="ar-SA"/>
              </w:rPr>
            </w:pPr>
            <w:r>
              <w:rPr>
                <w:rFonts w:cs="Times New Roman"/>
                <w:kern w:val="0"/>
                <w:lang w:val="ru-RU" w:eastAsia="ru-RU" w:bidi="ar-SA"/>
              </w:rPr>
            </w:r>
          </w:p>
        </w:tc>
        <w:tc>
          <w:tcPr>
            <w:tcW w:w="1980" w:type="dxa"/>
            <w:tcBorders/>
            <w:shd w:color="auto" w:fill="auto" w:val="clear"/>
          </w:tcPr>
          <w:p>
            <w:pPr>
              <w:pStyle w:val="Normal"/>
              <w:widowControl w:val="false"/>
              <w:suppressAutoHyphens w:val="true"/>
              <w:spacing w:before="0" w:after="0"/>
              <w:jc w:val="left"/>
              <w:rPr>
                <w:sz w:val="24"/>
                <w:szCs w:val="24"/>
              </w:rPr>
            </w:pPr>
            <w:r>
              <w:rPr>
                <w:rFonts w:eastAsia="Times New Roman" w:cs="Times New Roman"/>
                <w:kern w:val="0"/>
                <w:sz w:val="24"/>
                <w:szCs w:val="24"/>
                <w:lang w:val="ru-RU" w:eastAsia="ru-RU" w:bidi="ar-SA"/>
              </w:rPr>
              <w:t>Требования к сапогам с защитным подноском утепленным.</w:t>
            </w:r>
          </w:p>
          <w:p>
            <w:pPr>
              <w:pStyle w:val="Normal"/>
              <w:widowControl w:val="false"/>
              <w:suppressAutoHyphens w:val="true"/>
              <w:spacing w:before="0" w:after="0"/>
              <w:jc w:val="left"/>
              <w:rPr>
                <w:sz w:val="24"/>
                <w:szCs w:val="24"/>
              </w:rPr>
            </w:pPr>
            <w:r>
              <w:rPr>
                <w:rFonts w:eastAsia="Times New Roman" w:cs="Times New Roman"/>
                <w:kern w:val="0"/>
                <w:sz w:val="24"/>
                <w:szCs w:val="24"/>
                <w:lang w:val="ru-RU" w:eastAsia="ru-RU" w:bidi="ar-SA"/>
              </w:rPr>
              <w:t>(</w:t>
            </w:r>
            <w:r>
              <w:rPr>
                <w:rFonts w:eastAsia="Times New Roman" w:cs="Times New Roman"/>
                <w:i/>
                <w:kern w:val="0"/>
                <w:sz w:val="24"/>
                <w:szCs w:val="24"/>
                <w:lang w:val="ru-RU" w:eastAsia="ru-RU" w:bidi="ar-SA"/>
              </w:rPr>
              <w:t>Позиция № 7 в Таблице</w:t>
            </w:r>
            <w:r>
              <w:rPr>
                <w:rFonts w:eastAsia="Times New Roman" w:cs="Times New Roman"/>
                <w:i/>
                <w:kern w:val="0"/>
                <w:lang w:val="ru-RU" w:eastAsia="ru-RU" w:bidi="ar-SA"/>
              </w:rPr>
              <w:t xml:space="preserve"> </w:t>
            </w:r>
            <w:r>
              <w:rPr>
                <w:rFonts w:eastAsia="Times New Roman" w:cs="Times New Roman"/>
                <w:i/>
                <w:kern w:val="0"/>
                <w:sz w:val="24"/>
                <w:szCs w:val="24"/>
                <w:lang w:val="ru-RU" w:eastAsia="ru-RU" w:bidi="ar-SA"/>
              </w:rPr>
              <w:t>1.1 настоящих ТТ)</w:t>
            </w:r>
          </w:p>
        </w:tc>
        <w:tc>
          <w:tcPr>
            <w:tcW w:w="8313" w:type="dxa"/>
            <w:tcBorders/>
            <w:shd w:color="auto" w:fill="auto" w:val="clear"/>
          </w:tcPr>
          <w:p>
            <w:pPr>
              <w:pStyle w:val="ListParagraph"/>
              <w:widowControl w:val="false"/>
              <w:numPr>
                <w:ilvl w:val="2"/>
                <w:numId w:val="9"/>
              </w:numPr>
              <w:tabs>
                <w:tab w:val="clear" w:pos="720"/>
                <w:tab w:val="left" w:pos="740" w:leader="none"/>
                <w:tab w:val="left" w:pos="882"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Сапоги кожаные утепленные с защитным подноском должны обеспечивать защиту от низких и высоких температур, в диапазоне от -40 до +120°С. В качестве утеплителя используется натуральный мех овчина, высота ворса 12-14 мм.</w:t>
            </w:r>
          </w:p>
          <w:p>
            <w:pPr>
              <w:pStyle w:val="ListParagraph"/>
              <w:widowControl w:val="false"/>
              <w:numPr>
                <w:ilvl w:val="2"/>
                <w:numId w:val="9"/>
              </w:numPr>
              <w:tabs>
                <w:tab w:val="clear" w:pos="720"/>
                <w:tab w:val="left" w:pos="740" w:leader="none"/>
                <w:tab w:val="left" w:pos="882"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Сапоги должны иметь: мягкую прокладку под подноском, профиль подошвы должен иметь протектор и специальные вставки препятствующий скольжению, регулируемое голенище.</w:t>
            </w:r>
          </w:p>
          <w:p>
            <w:pPr>
              <w:pStyle w:val="ListParagraph"/>
              <w:widowControl w:val="false"/>
              <w:numPr>
                <w:ilvl w:val="2"/>
                <w:numId w:val="9"/>
              </w:numPr>
              <w:tabs>
                <w:tab w:val="clear" w:pos="720"/>
                <w:tab w:val="left" w:pos="740" w:leader="none"/>
                <w:tab w:val="left" w:pos="882"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Сапоги могут иметь специальную стельку для защиты от проколов.</w:t>
            </w:r>
          </w:p>
          <w:p>
            <w:pPr>
              <w:pStyle w:val="ListParagraph"/>
              <w:widowControl w:val="false"/>
              <w:numPr>
                <w:ilvl w:val="2"/>
                <w:numId w:val="9"/>
              </w:numPr>
              <w:tabs>
                <w:tab w:val="clear" w:pos="720"/>
                <w:tab w:val="left" w:pos="740" w:leader="none"/>
                <w:tab w:val="left" w:pos="882"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Уровень МБС от 0 до 2,5 %.</w:t>
            </w:r>
          </w:p>
          <w:p>
            <w:pPr>
              <w:pStyle w:val="ListParagraph"/>
              <w:widowControl w:val="false"/>
              <w:numPr>
                <w:ilvl w:val="2"/>
                <w:numId w:val="9"/>
              </w:numPr>
              <w:tabs>
                <w:tab w:val="clear" w:pos="720"/>
                <w:tab w:val="left" w:pos="740" w:leader="none"/>
                <w:tab w:val="left" w:pos="882"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Материал верха – термоустойчивая водоотталкивающая кожа (юфть) толщиной 1,8–2,0 мм.</w:t>
            </w:r>
          </w:p>
          <w:p>
            <w:pPr>
              <w:pStyle w:val="ListParagraph"/>
              <w:widowControl w:val="false"/>
              <w:numPr>
                <w:ilvl w:val="2"/>
                <w:numId w:val="9"/>
              </w:numPr>
              <w:tabs>
                <w:tab w:val="clear" w:pos="720"/>
                <w:tab w:val="left" w:pos="740" w:leader="none"/>
                <w:tab w:val="left" w:pos="882"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Подошва – двухслойная, устойчивая к воздействию нефти, нефтепродуктов, щелочей концентрации до 20%, повышенных температур.</w:t>
            </w:r>
          </w:p>
          <w:p>
            <w:pPr>
              <w:pStyle w:val="ListParagraph"/>
              <w:widowControl w:val="false"/>
              <w:numPr>
                <w:ilvl w:val="2"/>
                <w:numId w:val="9"/>
              </w:numPr>
              <w:tabs>
                <w:tab w:val="clear" w:pos="720"/>
                <w:tab w:val="left" w:pos="740" w:leader="none"/>
                <w:tab w:val="left" w:pos="882"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Верхний слой из полиуретана обладает амортизирующими свойствами, гасит ударные нагрузки, а также придает обуви легкость, комфортность и повышенные теплозащитные свойства.</w:t>
            </w:r>
          </w:p>
          <w:p>
            <w:pPr>
              <w:pStyle w:val="ListParagraph"/>
              <w:widowControl w:val="false"/>
              <w:numPr>
                <w:ilvl w:val="2"/>
                <w:numId w:val="9"/>
              </w:numPr>
              <w:tabs>
                <w:tab w:val="clear" w:pos="720"/>
                <w:tab w:val="left" w:pos="740" w:leader="none"/>
                <w:tab w:val="left" w:pos="882"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Ходовой слой изготовлен из износостойкой, термостойкой (300°С / 60 с), морозостойкой резины на основе нитрильного каучука с улучшенным сопротивлением скольжению, стойкостью к деформациям, истиранию.</w:t>
            </w:r>
          </w:p>
          <w:p>
            <w:pPr>
              <w:pStyle w:val="ListParagraph"/>
              <w:widowControl w:val="false"/>
              <w:numPr>
                <w:ilvl w:val="2"/>
                <w:numId w:val="9"/>
              </w:numPr>
              <w:tabs>
                <w:tab w:val="clear" w:pos="720"/>
                <w:tab w:val="left" w:pos="740" w:leader="none"/>
                <w:tab w:val="left" w:pos="882"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Носочная часть может иметь дополнительную защиту в виде полиуретановой накладки, предотвращающей механические повреждения обуви.</w:t>
            </w:r>
          </w:p>
          <w:p>
            <w:pPr>
              <w:pStyle w:val="ListParagraph"/>
              <w:widowControl w:val="false"/>
              <w:numPr>
                <w:ilvl w:val="2"/>
                <w:numId w:val="9"/>
              </w:numPr>
              <w:tabs>
                <w:tab w:val="clear" w:pos="720"/>
                <w:tab w:val="left" w:pos="457" w:leader="none"/>
                <w:tab w:val="left" w:pos="598" w:leader="none"/>
                <w:tab w:val="left" w:pos="740" w:leader="none"/>
                <w:tab w:val="left" w:pos="1024"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Профиль подошвы должен быть более 4 мм.</w:t>
            </w:r>
          </w:p>
          <w:p>
            <w:pPr>
              <w:pStyle w:val="ListParagraph"/>
              <w:widowControl w:val="false"/>
              <w:numPr>
                <w:ilvl w:val="2"/>
                <w:numId w:val="9"/>
              </w:numPr>
              <w:tabs>
                <w:tab w:val="clear" w:pos="720"/>
                <w:tab w:val="left" w:pos="457" w:leader="none"/>
                <w:tab w:val="left" w:pos="598" w:leader="none"/>
                <w:tab w:val="left" w:pos="740" w:leader="none"/>
                <w:tab w:val="left" w:pos="1024"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Подносок из поликарбоната с резиновым / полиуретановым уплотнителем. </w:t>
            </w:r>
          </w:p>
          <w:p>
            <w:pPr>
              <w:pStyle w:val="ListParagraph"/>
              <w:widowControl w:val="false"/>
              <w:numPr>
                <w:ilvl w:val="2"/>
                <w:numId w:val="9"/>
              </w:numPr>
              <w:tabs>
                <w:tab w:val="clear" w:pos="720"/>
                <w:tab w:val="left" w:pos="457" w:leader="none"/>
                <w:tab w:val="left" w:pos="598" w:leader="none"/>
                <w:tab w:val="left" w:pos="740" w:leader="none"/>
                <w:tab w:val="left" w:pos="1024"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Подносок должен выдерживать ударную нагрузку в 200 Дж.</w:t>
            </w:r>
          </w:p>
          <w:p>
            <w:pPr>
              <w:pStyle w:val="ListParagraph"/>
              <w:widowControl w:val="false"/>
              <w:numPr>
                <w:ilvl w:val="2"/>
                <w:numId w:val="9"/>
              </w:numPr>
              <w:tabs>
                <w:tab w:val="clear" w:pos="720"/>
                <w:tab w:val="left" w:pos="457" w:leader="none"/>
                <w:tab w:val="left" w:pos="598" w:leader="none"/>
                <w:tab w:val="left" w:pos="740" w:leader="none"/>
                <w:tab w:val="left" w:pos="1024"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Стелька для защиты от проколов должна быть изготовлена из композитных материалов, вставляться в процессе монтажа обуви и не иметь возможности демонтироваться.</w:t>
            </w:r>
          </w:p>
          <w:p>
            <w:pPr>
              <w:pStyle w:val="ListParagraph"/>
              <w:widowControl w:val="false"/>
              <w:numPr>
                <w:ilvl w:val="2"/>
                <w:numId w:val="9"/>
              </w:numPr>
              <w:tabs>
                <w:tab w:val="clear" w:pos="720"/>
                <w:tab w:val="left" w:pos="457" w:leader="none"/>
                <w:tab w:val="left" w:pos="598" w:leader="none"/>
                <w:tab w:val="left" w:pos="740" w:leader="none"/>
                <w:tab w:val="left" w:pos="1024"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Стелька должна иметь соответствующий размер и защищать стопу от прокола по всей длине.</w:t>
            </w:r>
          </w:p>
          <w:p>
            <w:pPr>
              <w:pStyle w:val="ListParagraph"/>
              <w:widowControl w:val="false"/>
              <w:numPr>
                <w:ilvl w:val="2"/>
                <w:numId w:val="9"/>
              </w:numPr>
              <w:tabs>
                <w:tab w:val="clear" w:pos="720"/>
                <w:tab w:val="left" w:pos="457" w:leader="none"/>
                <w:tab w:val="left" w:pos="598" w:leader="none"/>
                <w:tab w:val="left" w:pos="740" w:leader="none"/>
                <w:tab w:val="left" w:pos="1024"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b/>
                <w:kern w:val="0"/>
                <w:lang w:val="ru-RU" w:eastAsia="ru-RU" w:bidi="ar-SA"/>
              </w:rPr>
              <w:t>Высота обуви:</w:t>
            </w:r>
            <w:r>
              <w:rPr>
                <w:rFonts w:cs="Times New Roman"/>
                <w:kern w:val="0"/>
                <w:lang w:val="ru-RU" w:eastAsia="ru-RU" w:bidi="ar-SA"/>
              </w:rPr>
              <w:t xml:space="preserve"> 325 ±5 мм.</w:t>
            </w:r>
          </w:p>
          <w:p>
            <w:pPr>
              <w:pStyle w:val="ListParagraph"/>
              <w:widowControl w:val="false"/>
              <w:numPr>
                <w:ilvl w:val="2"/>
                <w:numId w:val="9"/>
              </w:numPr>
              <w:tabs>
                <w:tab w:val="clear" w:pos="720"/>
                <w:tab w:val="left" w:pos="457" w:leader="none"/>
                <w:tab w:val="left" w:pos="598" w:leader="none"/>
                <w:tab w:val="left" w:pos="740" w:leader="none"/>
                <w:tab w:val="left" w:pos="1024"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Обязательное соответствие ТР ТС 019/2011, ГОСТ Р 12.4.187-97, ГОСТ Р ЕН 20345-2011.</w:t>
            </w:r>
          </w:p>
          <w:p>
            <w:pPr>
              <w:pStyle w:val="ListParagraph"/>
              <w:widowControl w:val="false"/>
              <w:numPr>
                <w:ilvl w:val="2"/>
                <w:numId w:val="9"/>
              </w:numPr>
              <w:tabs>
                <w:tab w:val="clear" w:pos="720"/>
                <w:tab w:val="left" w:pos="457" w:leader="none"/>
                <w:tab w:val="left" w:pos="598" w:leader="none"/>
                <w:tab w:val="left" w:pos="740" w:leader="none"/>
                <w:tab w:val="left" w:pos="1024"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Обязательная форма подтверждения соответствия ТР ТС 019/2011 – сертификат соответствия (предоставляются при поставке СИЗ).</w:t>
            </w:r>
          </w:p>
          <w:p>
            <w:pPr>
              <w:pStyle w:val="ListParagraph"/>
              <w:widowControl w:val="false"/>
              <w:numPr>
                <w:ilvl w:val="2"/>
                <w:numId w:val="9"/>
              </w:numPr>
              <w:tabs>
                <w:tab w:val="clear" w:pos="720"/>
                <w:tab w:val="left" w:pos="457" w:leader="none"/>
                <w:tab w:val="left" w:pos="598" w:leader="none"/>
                <w:tab w:val="left" w:pos="740" w:leader="none"/>
                <w:tab w:val="left" w:pos="1024"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i/>
                <w:kern w:val="0"/>
                <w:lang w:val="ru-RU" w:eastAsia="ru-RU" w:bidi="ar-SA"/>
              </w:rPr>
              <w:t>Эскиз образца сапог кожаных утепленных приведен в  Приложении №1  к настоящим ТТ.</w:t>
            </w:r>
          </w:p>
          <w:p>
            <w:pPr>
              <w:pStyle w:val="ListParagraph"/>
              <w:widowControl w:val="false"/>
              <w:numPr>
                <w:ilvl w:val="0"/>
                <w:numId w:val="0"/>
              </w:numPr>
              <w:tabs>
                <w:tab w:val="clear" w:pos="720"/>
                <w:tab w:val="left" w:pos="457" w:leader="none"/>
                <w:tab w:val="left" w:pos="598" w:leader="none"/>
                <w:tab w:val="left" w:pos="740" w:leader="none"/>
                <w:tab w:val="left" w:pos="1024" w:leader="none"/>
              </w:tabs>
              <w:suppressAutoHyphens w:val="true"/>
              <w:spacing w:before="0" w:after="0"/>
              <w:ind w:left="31" w:hanging="0"/>
              <w:contextualSpacing/>
              <w:jc w:val="both"/>
              <w:rPr>
                <w:i w:val="false"/>
                <w:i w:val="false"/>
                <w:iCs w:val="false"/>
              </w:rPr>
            </w:pPr>
            <w:r>
              <w:rPr>
                <w:rFonts w:cs="Times New Roman"/>
                <w:i w:val="false"/>
                <w:iCs w:val="false"/>
                <w:kern w:val="0"/>
                <w:lang w:val="ru-RU" w:eastAsia="ru-RU" w:bidi="ar-SA"/>
              </w:rPr>
              <w:t>2.4.19 В составе документации на закупку предоставляется протокол испытаний СИЗ (защитные свойства).</w:t>
            </w:r>
          </w:p>
          <w:p>
            <w:pPr>
              <w:pStyle w:val="ListParagraph"/>
              <w:widowControl w:val="false"/>
              <w:numPr>
                <w:ilvl w:val="0"/>
                <w:numId w:val="0"/>
              </w:numPr>
              <w:tabs>
                <w:tab w:val="clear" w:pos="720"/>
                <w:tab w:val="left" w:pos="457" w:leader="none"/>
                <w:tab w:val="left" w:pos="598" w:leader="none"/>
                <w:tab w:val="left" w:pos="740" w:leader="none"/>
                <w:tab w:val="left" w:pos="1024" w:leader="none"/>
              </w:tabs>
              <w:suppressAutoHyphens w:val="true"/>
              <w:spacing w:before="0" w:after="0"/>
              <w:ind w:left="31" w:hanging="0"/>
              <w:contextualSpacing/>
              <w:jc w:val="both"/>
              <w:rPr>
                <w:rFonts w:ascii="Times New Roman" w:hAnsi="Times New Roman" w:cs="Times New Roman"/>
                <w:kern w:val="0"/>
                <w:lang w:val="ru-RU" w:eastAsia="ru-RU" w:bidi="ar-SA"/>
              </w:rPr>
            </w:pPr>
            <w:r>
              <w:rPr>
                <w:rFonts w:cs="Times New Roman"/>
                <w:kern w:val="0"/>
                <w:lang w:val="ru-RU" w:eastAsia="ru-RU" w:bidi="ar-SA"/>
              </w:rPr>
            </w:r>
          </w:p>
        </w:tc>
        <w:tc>
          <w:tcPr>
            <w:tcW w:w="2012" w:type="dxa"/>
            <w:tcBorders/>
            <w:shd w:color="auto" w:fill="auto" w:val="clear"/>
          </w:tcPr>
          <w:p>
            <w:pPr>
              <w:pStyle w:val="Normal"/>
              <w:widowControl w:val="false"/>
              <w:suppressAutoHyphens w:val="true"/>
              <w:spacing w:before="0" w:after="0"/>
              <w:jc w:val="center"/>
              <w:rPr>
                <w:i/>
                <w:i/>
                <w:sz w:val="24"/>
                <w:szCs w:val="24"/>
              </w:rPr>
            </w:pPr>
            <w:r>
              <w:rPr>
                <w:rFonts w:eastAsia="Times New Roman" w:cs="Times New Roman"/>
                <w:i/>
                <w:kern w:val="0"/>
                <w:sz w:val="24"/>
                <w:szCs w:val="24"/>
                <w:lang w:val="ru-RU" w:eastAsia="ru-RU" w:bidi="ar-SA"/>
              </w:rPr>
              <w:t xml:space="preserve">Согласие с требованием </w:t>
            </w:r>
          </w:p>
        </w:tc>
        <w:tc>
          <w:tcPr>
            <w:tcW w:w="2331" w:type="dxa"/>
            <w:tcBorders/>
            <w:shd w:color="auto" w:fill="auto" w:val="clear"/>
          </w:tcPr>
          <w:p>
            <w:pPr>
              <w:pStyle w:val="Normal"/>
              <w:widowControl w:val="false"/>
              <w:suppressAutoHyphens w:val="true"/>
              <w:spacing w:before="0" w:after="0"/>
              <w:jc w:val="center"/>
              <w:rPr>
                <w:sz w:val="24"/>
                <w:szCs w:val="24"/>
              </w:rPr>
            </w:pPr>
            <w:r>
              <w:rPr>
                <w:rFonts w:eastAsia="Times New Roman" w:cs="Times New Roman"/>
                <w:kern w:val="0"/>
                <w:sz w:val="24"/>
                <w:szCs w:val="24"/>
                <w:lang w:val="ru-RU" w:eastAsia="ru-RU" w:bidi="ar-SA"/>
              </w:rPr>
              <w:t xml:space="preserve">–  </w:t>
            </w:r>
          </w:p>
        </w:tc>
      </w:tr>
      <w:tr>
        <w:trPr/>
        <w:tc>
          <w:tcPr>
            <w:tcW w:w="889" w:type="dxa"/>
            <w:tcBorders>
              <w:top w:val="nil"/>
            </w:tcBorders>
          </w:tcPr>
          <w:p>
            <w:pPr>
              <w:pStyle w:val="ListParagraph"/>
              <w:widowControl w:val="false"/>
              <w:numPr>
                <w:ilvl w:val="1"/>
                <w:numId w:val="9"/>
              </w:numPr>
              <w:suppressAutoHyphens w:val="true"/>
              <w:spacing w:before="60" w:after="60"/>
              <w:ind w:left="-117" w:firstLine="142"/>
              <w:contextualSpacing/>
              <w:jc w:val="center"/>
              <w:rPr>
                <w:rFonts w:ascii="Times New Roman" w:hAnsi="Times New Roman" w:cs="Times New Roman"/>
                <w:kern w:val="0"/>
                <w:lang w:val="ru-RU" w:eastAsia="ru-RU" w:bidi="ar-SA"/>
              </w:rPr>
            </w:pPr>
            <w:r>
              <w:rPr>
                <w:rFonts w:cs="Times New Roman"/>
                <w:kern w:val="0"/>
                <w:lang w:val="ru-RU" w:eastAsia="ru-RU" w:bidi="ar-SA"/>
              </w:rPr>
            </w:r>
          </w:p>
        </w:tc>
        <w:tc>
          <w:tcPr>
            <w:tcW w:w="1980" w:type="dxa"/>
            <w:tcBorders>
              <w:top w:val="nil"/>
            </w:tcBorders>
            <w:shd w:color="auto" w:fill="auto" w:val="clear"/>
          </w:tcPr>
          <w:p>
            <w:pPr>
              <w:pStyle w:val="Normal"/>
              <w:widowControl w:val="false"/>
              <w:suppressAutoHyphens w:val="true"/>
              <w:spacing w:before="0" w:after="0"/>
              <w:jc w:val="left"/>
              <w:rPr>
                <w:sz w:val="24"/>
                <w:szCs w:val="24"/>
              </w:rPr>
            </w:pPr>
            <w:r>
              <w:rPr>
                <w:rFonts w:eastAsia="Times New Roman" w:cs="Times New Roman"/>
                <w:kern w:val="0"/>
                <w:sz w:val="24"/>
                <w:szCs w:val="24"/>
                <w:lang w:val="ru-RU" w:eastAsia="ru-RU" w:bidi="ar-SA"/>
              </w:rPr>
              <w:t>Требования к ботинкам утепленным с защитным подноском утепленным.</w:t>
            </w:r>
          </w:p>
          <w:p>
            <w:pPr>
              <w:pStyle w:val="Normal"/>
              <w:widowControl w:val="false"/>
              <w:suppressAutoHyphens w:val="true"/>
              <w:spacing w:before="0" w:after="0"/>
              <w:jc w:val="left"/>
              <w:rPr>
                <w:sz w:val="24"/>
                <w:szCs w:val="28"/>
              </w:rPr>
            </w:pPr>
            <w:r>
              <w:rPr>
                <w:rFonts w:eastAsia="Times New Roman" w:cs="Times New Roman"/>
                <w:kern w:val="0"/>
                <w:sz w:val="24"/>
                <w:szCs w:val="28"/>
                <w:lang w:val="ru-RU" w:eastAsia="ru-RU" w:bidi="ar-SA"/>
              </w:rPr>
              <w:t>(</w:t>
            </w:r>
            <w:r>
              <w:rPr>
                <w:rFonts w:eastAsia="Times New Roman" w:cs="Times New Roman"/>
                <w:i/>
                <w:kern w:val="0"/>
                <w:sz w:val="24"/>
                <w:szCs w:val="28"/>
                <w:lang w:val="ru-RU" w:eastAsia="ru-RU" w:bidi="ar-SA"/>
              </w:rPr>
              <w:t>Позиция № 8 в Таблице 1.1 настоящих ТТ)</w:t>
            </w:r>
          </w:p>
        </w:tc>
        <w:tc>
          <w:tcPr>
            <w:tcW w:w="8313" w:type="dxa"/>
            <w:tcBorders>
              <w:top w:val="nil"/>
            </w:tcBorders>
            <w:shd w:color="auto" w:fill="auto" w:val="clear"/>
          </w:tcPr>
          <w:p>
            <w:pPr>
              <w:pStyle w:val="ListParagraph"/>
              <w:widowControl w:val="false"/>
              <w:numPr>
                <w:ilvl w:val="0"/>
                <w:numId w:val="0"/>
              </w:numPr>
              <w:tabs>
                <w:tab w:val="clear" w:pos="720"/>
                <w:tab w:val="left" w:pos="740"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Для защиты от ОПЗ, ударов, падений предметов.  </w:t>
            </w:r>
          </w:p>
          <w:p>
            <w:pPr>
              <w:pStyle w:val="ListParagraph"/>
              <w:widowControl w:val="false"/>
              <w:numPr>
                <w:ilvl w:val="2"/>
                <w:numId w:val="9"/>
              </w:numPr>
              <w:tabs>
                <w:tab w:val="clear" w:pos="720"/>
                <w:tab w:val="left" w:pos="740" w:leader="none"/>
                <w:tab w:val="left" w:pos="882" w:leader="none"/>
              </w:tabs>
              <w:suppressAutoHyphens w:val="true"/>
              <w:spacing w:before="0" w:after="0"/>
              <w:ind w:left="1071" w:hanging="0"/>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Подносок должен выдерживать ударную нагрузку не менее 200 Дж. </w:t>
            </w:r>
          </w:p>
          <w:p>
            <w:pPr>
              <w:pStyle w:val="ListParagraph"/>
              <w:widowControl w:val="false"/>
              <w:numPr>
                <w:ilvl w:val="2"/>
                <w:numId w:val="9"/>
              </w:numPr>
              <w:tabs>
                <w:tab w:val="clear" w:pos="720"/>
                <w:tab w:val="left" w:pos="740" w:leader="none"/>
                <w:tab w:val="left" w:pos="882" w:leader="none"/>
              </w:tabs>
              <w:suppressAutoHyphens w:val="true"/>
              <w:spacing w:before="0" w:after="0"/>
              <w:ind w:left="1071" w:hanging="0"/>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В качестве материалов для верха обуви используется натуральная кожа – юфть термоустойчивая, толщиной 1,8-2,0 мм. </w:t>
            </w:r>
          </w:p>
          <w:p>
            <w:pPr>
              <w:pStyle w:val="ListParagraph"/>
              <w:widowControl w:val="false"/>
              <w:numPr>
                <w:ilvl w:val="2"/>
                <w:numId w:val="9"/>
              </w:numPr>
              <w:tabs>
                <w:tab w:val="clear" w:pos="720"/>
                <w:tab w:val="left" w:pos="740" w:leader="none"/>
                <w:tab w:val="left" w:pos="882" w:leader="none"/>
              </w:tabs>
              <w:suppressAutoHyphens w:val="true"/>
              <w:spacing w:before="0" w:after="0"/>
              <w:ind w:left="1071" w:hanging="0"/>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Подкладка и вкладная стелька из натурального меха, для III климатического пояса.  </w:t>
            </w:r>
          </w:p>
          <w:p>
            <w:pPr>
              <w:pStyle w:val="ListParagraph"/>
              <w:widowControl w:val="false"/>
              <w:numPr>
                <w:ilvl w:val="2"/>
                <w:numId w:val="9"/>
              </w:numPr>
              <w:tabs>
                <w:tab w:val="clear" w:pos="720"/>
                <w:tab w:val="left" w:pos="740" w:leader="none"/>
                <w:tab w:val="left" w:pos="882" w:leader="none"/>
              </w:tabs>
              <w:suppressAutoHyphens w:val="true"/>
              <w:spacing w:before="0" w:after="0"/>
              <w:ind w:left="1071" w:hanging="0"/>
              <w:contextualSpacing/>
              <w:jc w:val="both"/>
              <w:rPr>
                <w:rFonts w:ascii="Times New Roman" w:hAnsi="Times New Roman" w:cs="Times New Roman"/>
                <w:kern w:val="0"/>
                <w:lang w:val="ru-RU" w:eastAsia="ru-RU" w:bidi="ar-SA"/>
              </w:rPr>
            </w:pPr>
            <w:r>
              <w:rPr>
                <w:rFonts w:cs="Times New Roman"/>
                <w:kern w:val="0"/>
                <w:lang w:val="ru-RU" w:eastAsia="ru-RU" w:bidi="ar-SA"/>
              </w:rPr>
              <w:t>Материал подошвы: ПУ/нитрильная резина. Высота обуви: 140 ±5 мм</w:t>
            </w:r>
          </w:p>
          <w:p>
            <w:pPr>
              <w:pStyle w:val="ListParagraph"/>
              <w:widowControl w:val="false"/>
              <w:numPr>
                <w:ilvl w:val="2"/>
                <w:numId w:val="9"/>
              </w:numPr>
              <w:tabs>
                <w:tab w:val="clear" w:pos="720"/>
                <w:tab w:val="left" w:pos="740" w:leader="none"/>
                <w:tab w:val="left" w:pos="882" w:leader="none"/>
              </w:tabs>
              <w:suppressAutoHyphens w:val="true"/>
              <w:spacing w:before="0" w:after="0"/>
              <w:ind w:left="1071" w:hanging="0"/>
              <w:contextualSpacing/>
              <w:jc w:val="both"/>
              <w:rPr>
                <w:rFonts w:ascii="Times New Roman" w:hAnsi="Times New Roman" w:cs="Times New Roman"/>
                <w:kern w:val="0"/>
                <w:lang w:val="ru-RU" w:eastAsia="ru-RU" w:bidi="ar-SA"/>
              </w:rPr>
            </w:pPr>
            <w:r>
              <w:rPr>
                <w:rFonts w:cs="Times New Roman"/>
                <w:kern w:val="0"/>
                <w:lang w:val="ru-RU" w:eastAsia="ru-RU" w:bidi="ar-SA"/>
              </w:rPr>
              <w:t>Ботинки изготовлены литьевым методом крепления подошвы.</w:t>
            </w:r>
          </w:p>
          <w:p>
            <w:pPr>
              <w:pStyle w:val="ListParagraph"/>
              <w:widowControl w:val="false"/>
              <w:numPr>
                <w:ilvl w:val="2"/>
                <w:numId w:val="9"/>
              </w:numPr>
              <w:tabs>
                <w:tab w:val="clear" w:pos="720"/>
                <w:tab w:val="left" w:pos="740" w:leader="none"/>
                <w:tab w:val="left" w:pos="882" w:leader="none"/>
              </w:tabs>
              <w:suppressAutoHyphens w:val="true"/>
              <w:spacing w:before="0" w:after="0"/>
              <w:ind w:left="1071" w:hanging="0"/>
              <w:contextualSpacing/>
              <w:jc w:val="both"/>
              <w:rPr>
                <w:rFonts w:ascii="Times New Roman" w:hAnsi="Times New Roman" w:cs="Times New Roman"/>
                <w:kern w:val="0"/>
                <w:lang w:val="ru-RU" w:eastAsia="ru-RU" w:bidi="ar-SA"/>
              </w:rPr>
            </w:pPr>
            <w:r>
              <w:rPr>
                <w:rFonts w:cs="Times New Roman"/>
                <w:kern w:val="0"/>
                <w:lang w:val="ru-RU" w:eastAsia="ru-RU" w:bidi="ar-SA"/>
              </w:rPr>
              <w:t>Полуглухой клапан-язык из натуральной кожи дополнительно закрыт накладкой (наружным языком) из юфти термоустойчивой с фиксированием через подъемные ремни с застежкой на пряжки-клипсы.</w:t>
            </w:r>
          </w:p>
          <w:p>
            <w:pPr>
              <w:pStyle w:val="ListParagraph"/>
              <w:widowControl w:val="false"/>
              <w:numPr>
                <w:ilvl w:val="2"/>
                <w:numId w:val="9"/>
              </w:numPr>
              <w:tabs>
                <w:tab w:val="clear" w:pos="720"/>
                <w:tab w:val="left" w:pos="740" w:leader="none"/>
                <w:tab w:val="left" w:pos="882" w:leader="none"/>
              </w:tabs>
              <w:suppressAutoHyphens w:val="true"/>
              <w:spacing w:before="0" w:after="0"/>
              <w:ind w:left="1071" w:hanging="0"/>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В пяточной части карман из спилка подкладочного с прокладкой из нетканого материала. </w:t>
            </w:r>
          </w:p>
          <w:p>
            <w:pPr>
              <w:pStyle w:val="ListParagraph"/>
              <w:widowControl w:val="false"/>
              <w:numPr>
                <w:ilvl w:val="2"/>
                <w:numId w:val="9"/>
              </w:numPr>
              <w:tabs>
                <w:tab w:val="clear" w:pos="720"/>
                <w:tab w:val="left" w:pos="740" w:leader="none"/>
                <w:tab w:val="left" w:pos="882" w:leader="none"/>
              </w:tabs>
              <w:suppressAutoHyphens w:val="true"/>
              <w:spacing w:before="0" w:after="0"/>
              <w:ind w:left="1071" w:hanging="0"/>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Для защиты в носочной части стопы применяются внутренние защитные носки из композитного материала ударной прочностью 200 Дж (Мун 200), имеющие конфигурацию, препятствующую надавливанию верхнего края на стопу и оборудованные прокладкой из полиуретана.    </w:t>
            </w:r>
          </w:p>
          <w:p>
            <w:pPr>
              <w:pStyle w:val="ListParagraph"/>
              <w:widowControl w:val="false"/>
              <w:numPr>
                <w:ilvl w:val="2"/>
                <w:numId w:val="9"/>
              </w:numPr>
              <w:tabs>
                <w:tab w:val="clear" w:pos="720"/>
                <w:tab w:val="left" w:pos="740" w:leader="none"/>
                <w:tab w:val="left" w:pos="882" w:leader="none"/>
              </w:tabs>
              <w:suppressAutoHyphens w:val="true"/>
              <w:spacing w:before="0" w:after="0"/>
              <w:ind w:left="1071" w:hanging="0"/>
              <w:contextualSpacing/>
              <w:jc w:val="both"/>
              <w:rPr>
                <w:rFonts w:ascii="Times New Roman" w:hAnsi="Times New Roman" w:cs="Times New Roman"/>
                <w:kern w:val="0"/>
                <w:lang w:val="ru-RU" w:eastAsia="ru-RU" w:bidi="ar-SA"/>
              </w:rPr>
            </w:pPr>
            <w:r>
              <w:rPr>
                <w:rFonts w:cs="Times New Roman"/>
                <w:kern w:val="0"/>
                <w:lang w:val="ru-RU" w:eastAsia="ru-RU" w:bidi="ar-SA"/>
              </w:rPr>
              <w:t>Подошва двухслойная (устойчивая к воздействию химических факторов – нефти, масел, нефтепродуктов). Верхний слой из полиуретана об</w:t>
              <w:softHyphen/>
              <w:t>ладает амортизирующими свойствами, гасит ударные нагрузки. Носочная часть может имеет дополнительную защиту в виде прилитой полиуретановой накладки. Нижний слой изготовлен из из</w:t>
              <w:softHyphen/>
              <w:t xml:space="preserve">носостойкой, морозостойкой, термостойкой (-45°С…+300°С, при кратковременном (60 сек.) контакте с нагретой поверхностью) нитрильной резины с улучшенным сопротивлением скольжению, стойкостью к деформациям, истиранию.  </w:t>
            </w:r>
          </w:p>
          <w:p>
            <w:pPr>
              <w:pStyle w:val="ListParagraph"/>
              <w:widowControl w:val="false"/>
              <w:numPr>
                <w:ilvl w:val="2"/>
                <w:numId w:val="9"/>
              </w:numPr>
              <w:tabs>
                <w:tab w:val="clear" w:pos="720"/>
                <w:tab w:val="left" w:pos="740" w:leader="none"/>
                <w:tab w:val="left" w:pos="882" w:leader="none"/>
              </w:tabs>
              <w:suppressAutoHyphens w:val="true"/>
              <w:spacing w:before="0" w:after="0"/>
              <w:ind w:left="1071" w:hanging="0"/>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Глубина профиля (протектора) ходового слоя подошвы 5,0 мм и элементы подошвы обеспечивают хорошую сцепляемость с поверхностями, а расположенный под углом рисунок протектора обеспечивает самоочищение подошвы от загрязнений.  </w:t>
            </w:r>
          </w:p>
          <w:p>
            <w:pPr>
              <w:pStyle w:val="ListParagraph"/>
              <w:widowControl w:val="false"/>
              <w:numPr>
                <w:ilvl w:val="2"/>
                <w:numId w:val="9"/>
              </w:numPr>
              <w:tabs>
                <w:tab w:val="clear" w:pos="720"/>
                <w:tab w:val="left" w:pos="740" w:leader="none"/>
                <w:tab w:val="left" w:pos="882" w:leader="none"/>
              </w:tabs>
              <w:suppressAutoHyphens w:val="true"/>
              <w:spacing w:before="0" w:after="0"/>
              <w:ind w:left="1071" w:hanging="0"/>
              <w:contextualSpacing/>
              <w:jc w:val="both"/>
              <w:rPr>
                <w:rFonts w:ascii="Times New Roman" w:hAnsi="Times New Roman" w:cs="Times New Roman"/>
                <w:kern w:val="0"/>
                <w:lang w:val="ru-RU" w:eastAsia="ru-RU" w:bidi="ar-SA"/>
              </w:rPr>
            </w:pPr>
            <w:r>
              <w:rPr>
                <w:rFonts w:cs="Times New Roman"/>
                <w:kern w:val="0"/>
                <w:lang w:val="ru-RU" w:eastAsia="ru-RU" w:bidi="ar-SA"/>
              </w:rPr>
              <w:t>Требования, эскиз приведены в приложении № 1</w:t>
            </w:r>
          </w:p>
          <w:p>
            <w:pPr>
              <w:pStyle w:val="ListParagraph"/>
              <w:widowControl w:val="false"/>
              <w:numPr>
                <w:ilvl w:val="0"/>
                <w:numId w:val="0"/>
              </w:numPr>
              <w:tabs>
                <w:tab w:val="clear" w:pos="720"/>
                <w:tab w:val="left" w:pos="740"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r>
          </w:p>
        </w:tc>
        <w:tc>
          <w:tcPr>
            <w:tcW w:w="2012" w:type="dxa"/>
            <w:tcBorders>
              <w:top w:val="nil"/>
            </w:tcBorders>
            <w:shd w:color="auto" w:fill="auto" w:val="clear"/>
          </w:tcPr>
          <w:p>
            <w:pPr>
              <w:pStyle w:val="Normal"/>
              <w:widowControl w:val="false"/>
              <w:suppressAutoHyphens w:val="true"/>
              <w:spacing w:before="0" w:after="0"/>
              <w:jc w:val="center"/>
              <w:rPr>
                <w:i/>
                <w:i/>
                <w:sz w:val="24"/>
                <w:szCs w:val="24"/>
              </w:rPr>
            </w:pPr>
            <w:r>
              <w:rPr>
                <w:i/>
                <w:sz w:val="24"/>
                <w:szCs w:val="24"/>
              </w:rPr>
            </w:r>
          </w:p>
        </w:tc>
        <w:tc>
          <w:tcPr>
            <w:tcW w:w="2331" w:type="dxa"/>
            <w:tcBorders>
              <w:top w:val="nil"/>
            </w:tcBorders>
            <w:shd w:color="auto" w:fill="auto" w:val="clear"/>
          </w:tcPr>
          <w:p>
            <w:pPr>
              <w:pStyle w:val="Normal"/>
              <w:widowControl w:val="false"/>
              <w:suppressAutoHyphens w:val="true"/>
              <w:spacing w:before="0" w:after="0"/>
              <w:jc w:val="center"/>
              <w:rPr>
                <w:sz w:val="24"/>
                <w:szCs w:val="24"/>
              </w:rPr>
            </w:pPr>
            <w:r>
              <w:rPr>
                <w:sz w:val="24"/>
                <w:szCs w:val="24"/>
              </w:rPr>
            </w:r>
          </w:p>
        </w:tc>
      </w:tr>
      <w:tr>
        <w:trPr/>
        <w:tc>
          <w:tcPr>
            <w:tcW w:w="889" w:type="dxa"/>
            <w:tcBorders>
              <w:top w:val="nil"/>
            </w:tcBorders>
          </w:tcPr>
          <w:p>
            <w:pPr>
              <w:pStyle w:val="ListParagraph"/>
              <w:widowControl w:val="false"/>
              <w:numPr>
                <w:ilvl w:val="0"/>
                <w:numId w:val="0"/>
              </w:numPr>
              <w:suppressAutoHyphens w:val="true"/>
              <w:spacing w:before="60" w:after="60"/>
              <w:ind w:left="-117" w:hanging="0"/>
              <w:contextualSpacing/>
              <w:jc w:val="center"/>
              <w:rPr>
                <w:rFonts w:ascii="Times New Roman" w:hAnsi="Times New Roman" w:cs="Times New Roman"/>
                <w:b/>
                <w:bCs/>
                <w:kern w:val="0"/>
                <w:lang w:val="ru-RU" w:eastAsia="ru-RU" w:bidi="ar-SA"/>
              </w:rPr>
            </w:pPr>
            <w:r>
              <w:rPr>
                <w:rFonts w:cs="Times New Roman"/>
                <w:b/>
                <w:bCs/>
                <w:kern w:val="0"/>
                <w:lang w:val="ru-RU" w:eastAsia="ru-RU" w:bidi="ar-SA"/>
              </w:rPr>
              <w:t>3.</w:t>
            </w:r>
          </w:p>
        </w:tc>
        <w:tc>
          <w:tcPr>
            <w:tcW w:w="10293" w:type="dxa"/>
            <w:gridSpan w:val="2"/>
            <w:tcBorders>
              <w:top w:val="nil"/>
            </w:tcBorders>
            <w:shd w:color="auto" w:fill="auto" w:val="clear"/>
          </w:tcPr>
          <w:p>
            <w:pPr>
              <w:pStyle w:val="Normal"/>
              <w:widowControl w:val="false"/>
              <w:suppressAutoHyphens w:val="true"/>
              <w:spacing w:before="0" w:after="0"/>
              <w:jc w:val="left"/>
              <w:rPr>
                <w:b/>
                <w:bCs/>
                <w:sz w:val="24"/>
                <w:szCs w:val="24"/>
              </w:rPr>
            </w:pPr>
            <w:r>
              <w:rPr>
                <w:rFonts w:eastAsia="Times New Roman"/>
                <w:b/>
                <w:bCs/>
                <w:sz w:val="24"/>
                <w:szCs w:val="24"/>
              </w:rPr>
              <w:t>Требования к доставке, упаковке, транспортировке, перемещению, условиям хранения, приемке</w:t>
            </w:r>
          </w:p>
        </w:tc>
        <w:tc>
          <w:tcPr>
            <w:tcW w:w="2012" w:type="dxa"/>
            <w:tcBorders>
              <w:top w:val="nil"/>
            </w:tcBorders>
            <w:shd w:color="auto" w:fill="auto" w:val="clear"/>
          </w:tcPr>
          <w:p>
            <w:pPr>
              <w:pStyle w:val="Normal"/>
              <w:widowControl w:val="false"/>
              <w:suppressAutoHyphens w:val="true"/>
              <w:spacing w:before="0" w:after="0"/>
              <w:jc w:val="center"/>
              <w:rPr>
                <w:i/>
                <w:i/>
                <w:sz w:val="24"/>
                <w:szCs w:val="24"/>
              </w:rPr>
            </w:pPr>
            <w:r>
              <w:rPr>
                <w:i/>
                <w:sz w:val="24"/>
                <w:szCs w:val="24"/>
              </w:rPr>
            </w:r>
          </w:p>
        </w:tc>
        <w:tc>
          <w:tcPr>
            <w:tcW w:w="2331" w:type="dxa"/>
            <w:tcBorders>
              <w:top w:val="nil"/>
            </w:tcBorders>
            <w:shd w:color="auto" w:fill="auto" w:val="clear"/>
          </w:tcPr>
          <w:p>
            <w:pPr>
              <w:pStyle w:val="Normal"/>
              <w:widowControl w:val="false"/>
              <w:suppressAutoHyphens w:val="true"/>
              <w:spacing w:before="0" w:after="0"/>
              <w:jc w:val="center"/>
              <w:rPr>
                <w:sz w:val="24"/>
                <w:szCs w:val="24"/>
              </w:rPr>
            </w:pPr>
            <w:r>
              <w:rPr>
                <w:sz w:val="24"/>
                <w:szCs w:val="24"/>
              </w:rPr>
            </w:r>
          </w:p>
        </w:tc>
      </w:tr>
      <w:tr>
        <w:trPr/>
        <w:tc>
          <w:tcPr>
            <w:tcW w:w="889" w:type="dxa"/>
            <w:tcBorders>
              <w:top w:val="nil"/>
            </w:tcBorders>
          </w:tcPr>
          <w:p>
            <w:pPr>
              <w:pStyle w:val="ListParagraph"/>
              <w:widowControl w:val="false"/>
              <w:numPr>
                <w:ilvl w:val="0"/>
                <w:numId w:val="0"/>
              </w:numPr>
              <w:suppressAutoHyphens w:val="true"/>
              <w:spacing w:before="60" w:after="60"/>
              <w:ind w:left="-117" w:hanging="0"/>
              <w:contextualSpacing/>
              <w:jc w:val="center"/>
              <w:rPr>
                <w:rFonts w:ascii="Times New Roman" w:hAnsi="Times New Roman" w:cs="Times New Roman"/>
                <w:kern w:val="0"/>
                <w:lang w:val="ru-RU" w:eastAsia="ru-RU" w:bidi="ar-SA"/>
              </w:rPr>
            </w:pPr>
            <w:r>
              <w:rPr>
                <w:rFonts w:cs="Times New Roman"/>
                <w:kern w:val="0"/>
                <w:lang w:val="ru-RU" w:eastAsia="ru-RU" w:bidi="ar-SA"/>
              </w:rPr>
            </w:r>
          </w:p>
        </w:tc>
        <w:tc>
          <w:tcPr>
            <w:tcW w:w="1980" w:type="dxa"/>
            <w:tcBorders>
              <w:top w:val="nil"/>
            </w:tcBorders>
            <w:shd w:color="auto" w:fill="auto" w:val="clear"/>
          </w:tcPr>
          <w:p>
            <w:pPr>
              <w:pStyle w:val="Normal"/>
              <w:widowControl w:val="false"/>
              <w:suppressAutoHyphens w:val="true"/>
              <w:spacing w:before="0" w:after="0"/>
              <w:jc w:val="left"/>
              <w:rPr>
                <w:sz w:val="24"/>
                <w:szCs w:val="24"/>
              </w:rPr>
            </w:pPr>
            <w:r>
              <w:rPr>
                <w:rFonts w:eastAsia="Times New Roman" w:cs="Times New Roman"/>
                <w:kern w:val="0"/>
                <w:sz w:val="24"/>
                <w:szCs w:val="24"/>
                <w:lang w:val="ru-RU" w:eastAsia="ru-RU" w:bidi="ar-SA"/>
              </w:rPr>
              <w:t>Место поставки</w:t>
            </w:r>
          </w:p>
        </w:tc>
        <w:tc>
          <w:tcPr>
            <w:tcW w:w="8313" w:type="dxa"/>
            <w:tcBorders>
              <w:top w:val="nil"/>
            </w:tcBorders>
            <w:shd w:color="auto" w:fill="auto" w:val="clear"/>
          </w:tcPr>
          <w:p>
            <w:pPr>
              <w:pStyle w:val="Normal"/>
              <w:widowControl w:val="false"/>
              <w:suppressAutoHyphens w:val="true"/>
              <w:spacing w:before="0" w:after="0"/>
              <w:jc w:val="left"/>
              <w:rPr>
                <w:sz w:val="24"/>
                <w:szCs w:val="24"/>
              </w:rPr>
            </w:pPr>
            <w:r>
              <w:rPr>
                <w:rFonts w:eastAsia="Times New Roman" w:cs="Times New Roman"/>
                <w:kern w:val="0"/>
                <w:sz w:val="24"/>
                <w:szCs w:val="24"/>
                <w:lang w:val="ru-RU" w:eastAsia="ru-RU" w:bidi="ar-SA"/>
              </w:rPr>
              <w:t>614030, г. Пермь, ул. Соликамская д. 329, Камская ГЭС. Дата и время доставки должны быть согласованы с Заказчиком</w:t>
            </w:r>
          </w:p>
        </w:tc>
        <w:tc>
          <w:tcPr>
            <w:tcW w:w="2012" w:type="dxa"/>
            <w:tcBorders>
              <w:top w:val="nil"/>
            </w:tcBorders>
            <w:shd w:color="auto" w:fill="auto" w:val="clear"/>
          </w:tcPr>
          <w:p>
            <w:pPr>
              <w:pStyle w:val="Normal"/>
              <w:widowControl w:val="false"/>
              <w:suppressAutoHyphens w:val="true"/>
              <w:spacing w:before="0" w:after="0"/>
              <w:jc w:val="center"/>
              <w:rPr>
                <w:i/>
                <w:i/>
                <w:sz w:val="24"/>
                <w:szCs w:val="24"/>
              </w:rPr>
            </w:pPr>
            <w:r>
              <w:rPr>
                <w:i/>
                <w:sz w:val="24"/>
                <w:szCs w:val="24"/>
              </w:rPr>
              <w:t>Согласие с требованием</w:t>
            </w:r>
          </w:p>
        </w:tc>
        <w:tc>
          <w:tcPr>
            <w:tcW w:w="2331" w:type="dxa"/>
            <w:tcBorders>
              <w:top w:val="nil"/>
            </w:tcBorders>
            <w:shd w:color="auto" w:fill="auto" w:val="clear"/>
          </w:tcPr>
          <w:p>
            <w:pPr>
              <w:pStyle w:val="Normal"/>
              <w:widowControl w:val="false"/>
              <w:suppressAutoHyphens w:val="true"/>
              <w:spacing w:before="0" w:after="0"/>
              <w:jc w:val="center"/>
              <w:rPr>
                <w:sz w:val="24"/>
                <w:szCs w:val="24"/>
              </w:rPr>
            </w:pPr>
            <w:r>
              <w:rPr>
                <w:sz w:val="24"/>
                <w:szCs w:val="24"/>
              </w:rPr>
            </w:r>
          </w:p>
        </w:tc>
      </w:tr>
      <w:tr>
        <w:trPr/>
        <w:tc>
          <w:tcPr>
            <w:tcW w:w="889" w:type="dxa"/>
            <w:tcBorders>
              <w:top w:val="nil"/>
            </w:tcBorders>
          </w:tcPr>
          <w:p>
            <w:pPr>
              <w:pStyle w:val="ListParagraph"/>
              <w:widowControl w:val="false"/>
              <w:numPr>
                <w:ilvl w:val="0"/>
                <w:numId w:val="0"/>
              </w:numPr>
              <w:suppressAutoHyphens w:val="true"/>
              <w:spacing w:before="60" w:after="60"/>
              <w:ind w:left="-117" w:hanging="0"/>
              <w:contextualSpacing/>
              <w:jc w:val="center"/>
              <w:rPr>
                <w:rFonts w:ascii="Times New Roman" w:hAnsi="Times New Roman" w:cs="Times New Roman"/>
                <w:b/>
                <w:bCs/>
                <w:kern w:val="0"/>
                <w:lang w:val="ru-RU" w:eastAsia="ru-RU" w:bidi="ar-SA"/>
              </w:rPr>
            </w:pPr>
            <w:r>
              <w:rPr>
                <w:rFonts w:cs="Times New Roman"/>
                <w:b/>
                <w:bCs/>
                <w:kern w:val="0"/>
                <w:lang w:val="ru-RU" w:eastAsia="ru-RU" w:bidi="ar-SA"/>
              </w:rPr>
              <w:t>4.</w:t>
            </w:r>
          </w:p>
        </w:tc>
        <w:tc>
          <w:tcPr>
            <w:tcW w:w="10293" w:type="dxa"/>
            <w:gridSpan w:val="2"/>
            <w:tcBorders>
              <w:top w:val="nil"/>
            </w:tcBorders>
            <w:shd w:color="auto" w:fill="auto" w:val="clear"/>
          </w:tcPr>
          <w:p>
            <w:pPr>
              <w:pStyle w:val="Normal"/>
              <w:widowControl w:val="false"/>
              <w:suppressAutoHyphens w:val="true"/>
              <w:spacing w:before="60" w:after="60"/>
              <w:jc w:val="left"/>
              <w:rPr>
                <w:b/>
                <w:sz w:val="24"/>
                <w:szCs w:val="24"/>
              </w:rPr>
            </w:pPr>
            <w:r>
              <w:rPr>
                <w:rFonts w:eastAsia="Times New Roman" w:cs="Times New Roman"/>
                <w:b/>
                <w:kern w:val="0"/>
                <w:sz w:val="24"/>
                <w:szCs w:val="24"/>
                <w:lang w:val="ru-RU" w:eastAsia="ru-RU" w:bidi="ar-SA"/>
              </w:rPr>
              <w:t>Требования к комплектации и документам, поставляемым вместе с продукцией</w:t>
            </w:r>
          </w:p>
        </w:tc>
        <w:tc>
          <w:tcPr>
            <w:tcW w:w="2012" w:type="dxa"/>
            <w:tcBorders>
              <w:top w:val="nil"/>
            </w:tcBorders>
            <w:shd w:color="auto" w:fill="auto" w:val="clear"/>
          </w:tcPr>
          <w:p>
            <w:pPr>
              <w:pStyle w:val="Normal"/>
              <w:widowControl w:val="false"/>
              <w:suppressAutoHyphens w:val="true"/>
              <w:spacing w:before="0" w:after="0"/>
              <w:jc w:val="center"/>
              <w:rPr>
                <w:i/>
                <w:i/>
                <w:sz w:val="24"/>
                <w:szCs w:val="24"/>
              </w:rPr>
            </w:pPr>
            <w:r>
              <w:rPr>
                <w:i/>
                <w:sz w:val="24"/>
                <w:szCs w:val="24"/>
              </w:rPr>
            </w:r>
          </w:p>
        </w:tc>
        <w:tc>
          <w:tcPr>
            <w:tcW w:w="2331" w:type="dxa"/>
            <w:tcBorders>
              <w:top w:val="nil"/>
            </w:tcBorders>
            <w:shd w:color="auto" w:fill="auto" w:val="clear"/>
          </w:tcPr>
          <w:p>
            <w:pPr>
              <w:pStyle w:val="Normal"/>
              <w:widowControl w:val="false"/>
              <w:suppressAutoHyphens w:val="true"/>
              <w:spacing w:before="0" w:after="0"/>
              <w:jc w:val="center"/>
              <w:rPr>
                <w:sz w:val="24"/>
                <w:szCs w:val="24"/>
              </w:rPr>
            </w:pPr>
            <w:r>
              <w:rPr>
                <w:sz w:val="24"/>
                <w:szCs w:val="24"/>
              </w:rPr>
            </w:r>
          </w:p>
        </w:tc>
      </w:tr>
      <w:tr>
        <w:trPr/>
        <w:tc>
          <w:tcPr>
            <w:tcW w:w="889" w:type="dxa"/>
            <w:tcBorders>
              <w:top w:val="nil"/>
            </w:tcBorders>
          </w:tcPr>
          <w:p>
            <w:pPr>
              <w:pStyle w:val="ListParagraph"/>
              <w:widowControl w:val="false"/>
              <w:numPr>
                <w:ilvl w:val="0"/>
                <w:numId w:val="0"/>
              </w:numPr>
              <w:suppressAutoHyphens w:val="true"/>
              <w:spacing w:before="60" w:after="60"/>
              <w:ind w:left="-117" w:hanging="0"/>
              <w:contextualSpacing/>
              <w:jc w:val="center"/>
              <w:rPr>
                <w:rFonts w:ascii="Times New Roman" w:hAnsi="Times New Roman" w:cs="Times New Roman"/>
                <w:kern w:val="0"/>
                <w:lang w:val="ru-RU" w:eastAsia="ru-RU" w:bidi="ar-SA"/>
              </w:rPr>
            </w:pPr>
            <w:r>
              <w:rPr>
                <w:rFonts w:cs="Times New Roman"/>
                <w:kern w:val="0"/>
                <w:lang w:val="ru-RU" w:eastAsia="ru-RU" w:bidi="ar-SA"/>
              </w:rPr>
            </w:r>
          </w:p>
        </w:tc>
        <w:tc>
          <w:tcPr>
            <w:tcW w:w="1980" w:type="dxa"/>
            <w:tcBorders>
              <w:top w:val="nil"/>
            </w:tcBorders>
            <w:shd w:color="auto" w:fill="auto" w:val="clear"/>
          </w:tcPr>
          <w:p>
            <w:pPr>
              <w:pStyle w:val="Normal"/>
              <w:widowControl w:val="false"/>
              <w:suppressAutoHyphens w:val="true"/>
              <w:spacing w:before="0" w:after="0"/>
              <w:jc w:val="left"/>
              <w:rPr>
                <w:sz w:val="24"/>
                <w:szCs w:val="28"/>
              </w:rPr>
            </w:pPr>
            <w:r>
              <w:rPr>
                <w:rFonts w:eastAsia="Calibri" w:cs="Times New Roman"/>
                <w:iCs/>
                <w:kern w:val="0"/>
                <w:sz w:val="24"/>
                <w:szCs w:val="28"/>
                <w:lang w:val="ru-RU" w:eastAsia="en-US" w:bidi="ar-SA"/>
              </w:rPr>
              <w:t>Документы, передаваемые вместе с продукцией</w:t>
            </w:r>
          </w:p>
        </w:tc>
        <w:tc>
          <w:tcPr>
            <w:tcW w:w="8313" w:type="dxa"/>
            <w:tcBorders>
              <w:top w:val="nil"/>
            </w:tcBorders>
            <w:shd w:color="auto" w:fill="auto" w:val="clear"/>
          </w:tcPr>
          <w:p>
            <w:pPr>
              <w:pStyle w:val="Normal"/>
              <w:widowControl w:val="false"/>
              <w:suppressAutoHyphens w:val="true"/>
              <w:spacing w:before="0" w:after="0"/>
              <w:jc w:val="both"/>
              <w:rPr>
                <w:sz w:val="24"/>
                <w:szCs w:val="24"/>
              </w:rPr>
            </w:pPr>
            <w:r>
              <w:rPr>
                <w:rFonts w:eastAsia="Times New Roman" w:cs="Times New Roman"/>
                <w:kern w:val="0"/>
                <w:sz w:val="24"/>
                <w:szCs w:val="24"/>
                <w:lang w:val="ru-RU" w:eastAsia="ru-RU" w:bidi="ar-SA"/>
              </w:rPr>
              <w:t>Поставщик обязан одновременно с передачей продукции предоставить:</w:t>
            </w:r>
          </w:p>
          <w:p>
            <w:pPr>
              <w:pStyle w:val="Normal"/>
              <w:widowControl w:val="false"/>
              <w:suppressAutoHyphens w:val="true"/>
              <w:spacing w:before="0" w:after="0"/>
              <w:jc w:val="both"/>
              <w:rPr>
                <w:sz w:val="24"/>
                <w:szCs w:val="24"/>
              </w:rPr>
            </w:pPr>
            <w:r>
              <w:rPr>
                <w:rFonts w:eastAsia="Times New Roman" w:cs="Times New Roman"/>
                <w:kern w:val="0"/>
                <w:sz w:val="24"/>
                <w:szCs w:val="24"/>
                <w:lang w:val="ru-RU" w:eastAsia="ru-RU" w:bidi="ar-SA"/>
              </w:rPr>
              <w:t>-Товарную накладную унифицированной формы ТОРГ-12 (или УПД) в 2 экз.;</w:t>
            </w:r>
          </w:p>
          <w:p>
            <w:pPr>
              <w:pStyle w:val="Normal"/>
              <w:widowControl w:val="false"/>
              <w:suppressAutoHyphens w:val="true"/>
              <w:spacing w:before="0" w:after="0"/>
              <w:jc w:val="both"/>
              <w:rPr>
                <w:sz w:val="24"/>
                <w:szCs w:val="24"/>
              </w:rPr>
            </w:pPr>
            <w:r>
              <w:rPr>
                <w:rFonts w:eastAsia="Times New Roman" w:cs="Times New Roman"/>
                <w:kern w:val="0"/>
                <w:sz w:val="24"/>
                <w:szCs w:val="24"/>
                <w:lang w:val="ru-RU" w:eastAsia="ru-RU" w:bidi="ar-SA"/>
              </w:rPr>
              <w:t>- Сертификаты соответствия (на обувь, на спецодежду утепленную, на каски), декларация (на спецодежду от ОПЗ не утепленную);</w:t>
            </w:r>
          </w:p>
          <w:p>
            <w:pPr>
              <w:pStyle w:val="Normal"/>
              <w:widowControl w:val="false"/>
              <w:suppressAutoHyphens w:val="true"/>
              <w:spacing w:before="0" w:after="0"/>
              <w:jc w:val="both"/>
              <w:rPr>
                <w:sz w:val="24"/>
                <w:szCs w:val="24"/>
              </w:rPr>
            </w:pPr>
            <w:r>
              <w:rPr>
                <w:rFonts w:eastAsia="Times New Roman" w:cs="Times New Roman"/>
                <w:kern w:val="0"/>
                <w:sz w:val="24"/>
                <w:szCs w:val="24"/>
                <w:lang w:val="ru-RU" w:eastAsia="ru-RU" w:bidi="ar-SA"/>
              </w:rPr>
              <w:t>- Руководство (инструкция) по эксплуатации, уходу и ремонту СИЗ.</w:t>
            </w:r>
          </w:p>
        </w:tc>
        <w:tc>
          <w:tcPr>
            <w:tcW w:w="2012" w:type="dxa"/>
            <w:tcBorders>
              <w:top w:val="nil"/>
            </w:tcBorders>
            <w:shd w:color="auto" w:fill="auto" w:val="clear"/>
          </w:tcPr>
          <w:p>
            <w:pPr>
              <w:pStyle w:val="Normal"/>
              <w:widowControl w:val="false"/>
              <w:suppressAutoHyphens w:val="true"/>
              <w:spacing w:before="0" w:after="0"/>
              <w:jc w:val="center"/>
              <w:rPr>
                <w:i/>
                <w:i/>
                <w:sz w:val="24"/>
                <w:szCs w:val="24"/>
              </w:rPr>
            </w:pPr>
            <w:r>
              <w:rPr>
                <w:rFonts w:eastAsia="Times New Roman" w:cs="Times New Roman"/>
                <w:i/>
                <w:kern w:val="0"/>
                <w:sz w:val="24"/>
                <w:szCs w:val="24"/>
                <w:lang w:val="ru-RU" w:eastAsia="ru-RU" w:bidi="ar-SA"/>
              </w:rPr>
              <w:t>Согласие с требованием</w:t>
            </w:r>
          </w:p>
        </w:tc>
        <w:tc>
          <w:tcPr>
            <w:tcW w:w="2331" w:type="dxa"/>
            <w:tcBorders>
              <w:top w:val="nil"/>
            </w:tcBorders>
            <w:shd w:color="auto" w:fill="auto" w:val="clear"/>
          </w:tcPr>
          <w:p>
            <w:pPr>
              <w:pStyle w:val="Normal"/>
              <w:widowControl w:val="false"/>
              <w:suppressAutoHyphens w:val="true"/>
              <w:spacing w:before="0" w:after="0"/>
              <w:jc w:val="center"/>
              <w:rPr>
                <w:sz w:val="24"/>
                <w:szCs w:val="24"/>
              </w:rPr>
            </w:pPr>
            <w:r>
              <w:rPr>
                <w:sz w:val="24"/>
                <w:szCs w:val="24"/>
              </w:rPr>
            </w:r>
          </w:p>
        </w:tc>
      </w:tr>
    </w:tbl>
    <w:p>
      <w:pPr>
        <w:pStyle w:val="Normal"/>
        <w:shd w:val="clear" w:color="auto" w:fill="FFFFFF" w:themeFill="background1"/>
        <w:spacing w:before="0" w:after="120"/>
        <w:ind w:right="397" w:hanging="0"/>
        <w:jc w:val="both"/>
        <w:rPr>
          <w:b/>
          <w:bCs/>
          <w:iCs/>
          <w:sz w:val="24"/>
          <w:szCs w:val="24"/>
          <w:lang w:eastAsia="zh-CN"/>
        </w:rPr>
      </w:pPr>
      <w:r>
        <w:rPr>
          <w:b/>
          <w:bCs/>
          <w:iCs/>
          <w:sz w:val="24"/>
          <w:szCs w:val="24"/>
          <w:lang w:eastAsia="zh-CN"/>
        </w:rPr>
      </w:r>
    </w:p>
    <w:p>
      <w:pPr>
        <w:pStyle w:val="Heading3"/>
        <w:numPr>
          <w:ilvl w:val="2"/>
          <w:numId w:val="16"/>
        </w:numPr>
        <w:jc w:val="left"/>
        <w:rPr/>
      </w:pPr>
      <w:bookmarkStart w:id="41" w:name="_Toc215660633"/>
      <w:bookmarkStart w:id="42" w:name="_Hlk140571699"/>
      <w:bookmarkStart w:id="43" w:name="_Toc191389017"/>
      <w:bookmarkStart w:id="44" w:name="_Toc217307302"/>
      <w:bookmarkStart w:id="45" w:name="_Hlk140572020"/>
      <w:r>
        <w:rPr/>
        <w:t>В составе заявки необходимо предоставить</w:t>
      </w:r>
      <w:bookmarkEnd w:id="45"/>
      <w:r>
        <w:rPr/>
        <w:t>:</w:t>
      </w:r>
      <w:bookmarkEnd w:id="41"/>
      <w:bookmarkEnd w:id="42"/>
      <w:bookmarkEnd w:id="43"/>
      <w:bookmarkEnd w:id="44"/>
    </w:p>
    <w:p>
      <w:pPr>
        <w:pStyle w:val="Heading3"/>
        <w:numPr>
          <w:ilvl w:val="0"/>
          <w:numId w:val="0"/>
        </w:numPr>
        <w:ind w:left="0" w:hanging="0"/>
        <w:jc w:val="left"/>
        <w:rPr/>
      </w:pPr>
      <w:r>
        <w:rPr>
          <w:b w:val="false"/>
          <w:bCs w:val="false"/>
          <w:lang w:val="ru-RU"/>
        </w:rPr>
        <w:t>Участник в составе своей заявки для подтверждения соответстви</w:t>
      </w:r>
      <w:r>
        <w:rPr>
          <w:b w:val="false"/>
          <w:bCs w:val="false"/>
        </w:rPr>
        <w:t xml:space="preserve">я заявленных характеристик и конструктива предлагаемой продукции требованиям настоящих ТТ, предоставляет следующие документы: </w:t>
      </w:r>
    </w:p>
    <w:p>
      <w:pPr>
        <w:pStyle w:val="ListParagraph"/>
        <w:numPr>
          <w:ilvl w:val="0"/>
          <w:numId w:val="0"/>
        </w:numPr>
        <w:suppressAutoHyphens w:val="false"/>
        <w:spacing w:before="0" w:after="60"/>
        <w:ind w:left="-11" w:hanging="0"/>
        <w:contextualSpacing w:val="false"/>
        <w:jc w:val="both"/>
        <w:rPr/>
      </w:pPr>
      <w:r>
        <w:rPr>
          <w:b w:val="false"/>
          <w:bCs w:val="false"/>
          <w:iCs/>
        </w:rPr>
        <w:t>1.Техническое предложение, подготовленное в соответствии с настоящими ТТ по форме, представленной в Документации о закупке</w:t>
      </w:r>
      <w:r>
        <w:rPr>
          <w:iCs/>
        </w:rPr>
        <w:t>;</w:t>
      </w:r>
    </w:p>
    <w:p>
      <w:pPr>
        <w:pStyle w:val="ListParagraph"/>
        <w:numPr>
          <w:ilvl w:val="0"/>
          <w:numId w:val="0"/>
        </w:numPr>
        <w:suppressAutoHyphens w:val="false"/>
        <w:spacing w:before="0" w:after="60"/>
        <w:ind w:left="-11" w:hanging="0"/>
        <w:contextualSpacing w:val="false"/>
        <w:jc w:val="both"/>
        <w:rPr/>
      </w:pPr>
      <w:r>
        <w:rPr>
          <w:rFonts w:eastAsia="Times New Roman" w:cs="Times New Roman"/>
          <w:iCs/>
          <w:kern w:val="0"/>
          <w:lang w:val="ru-RU" w:eastAsia="ru-RU" w:bidi="ar-SA"/>
        </w:rPr>
        <w:t>2. П</w:t>
      </w:r>
      <w:r>
        <w:rPr>
          <w:rFonts w:eastAsia="Calibri" w:cs="Times New Roman"/>
          <w:iCs/>
          <w:kern w:val="0"/>
          <w:lang w:val="ru-RU" w:eastAsia="en-US" w:bidi="ar-SA"/>
        </w:rPr>
        <w:t>ротоколы испытаний, подтверждающие защитные и эксплуатационные свойства</w:t>
      </w:r>
    </w:p>
    <w:p>
      <w:pPr>
        <w:pStyle w:val="Normal"/>
        <w:spacing w:before="0" w:after="120"/>
        <w:ind w:left="1224" w:right="397" w:hanging="504"/>
        <w:jc w:val="both"/>
        <w:rPr>
          <w:b/>
          <w:color w:val="000000"/>
          <w:sz w:val="24"/>
          <w:szCs w:val="24"/>
        </w:rPr>
      </w:pPr>
      <w:r>
        <w:rPr>
          <w:b/>
          <w:color w:val="000000"/>
          <w:sz w:val="24"/>
          <w:szCs w:val="24"/>
        </w:rPr>
      </w:r>
    </w:p>
    <w:p>
      <w:pPr>
        <w:pStyle w:val="Heading1"/>
        <w:keepLines/>
        <w:numPr>
          <w:ilvl w:val="0"/>
          <w:numId w:val="0"/>
        </w:numPr>
        <w:ind w:left="0" w:hanging="0"/>
        <w:jc w:val="center"/>
        <w:rPr>
          <w:rFonts w:ascii="Times New Roman" w:hAnsi="Times New Roman" w:eastAsia="Calibri" w:cs="Times New Roman"/>
          <w:iCs/>
          <w:kern w:val="0"/>
          <w:lang w:val="ru-RU" w:eastAsia="en-US" w:bidi="ar-SA"/>
        </w:rPr>
      </w:pPr>
      <w:r>
        <w:rPr>
          <w:rFonts w:eastAsia="Calibri" w:cs="Times New Roman"/>
          <w:iCs/>
          <w:kern w:val="0"/>
          <w:lang w:val="ru-RU" w:eastAsia="en-US" w:bidi="ar-SA"/>
        </w:rPr>
      </w:r>
    </w:p>
    <w:p>
      <w:pPr>
        <w:pStyle w:val="Normal"/>
        <w:spacing w:before="0" w:after="120"/>
        <w:ind w:left="1224" w:right="397" w:hanging="504"/>
        <w:jc w:val="both"/>
        <w:rPr>
          <w:b/>
          <w:color w:val="000000"/>
          <w:sz w:val="24"/>
          <w:szCs w:val="24"/>
        </w:rPr>
      </w:pPr>
      <w:r>
        <w:rPr>
          <w:b/>
          <w:color w:val="000000"/>
          <w:sz w:val="24"/>
          <w:szCs w:val="24"/>
        </w:rPr>
        <w:t xml:space="preserve">    </w:t>
      </w:r>
      <w:r>
        <w:rPr>
          <w:b/>
          <w:color w:val="000000"/>
          <w:sz w:val="24"/>
          <w:szCs w:val="24"/>
        </w:rPr>
        <w:t>3. Требования к документации по ценообразованию на этапе закупки</w:t>
      </w:r>
    </w:p>
    <w:p>
      <w:pPr>
        <w:pStyle w:val="Normal"/>
        <w:spacing w:before="0" w:after="120"/>
        <w:ind w:left="1224" w:right="397" w:hanging="504"/>
        <w:jc w:val="both"/>
        <w:rPr>
          <w:b w:val="false"/>
          <w:bCs w:val="false"/>
          <w:color w:val="000000"/>
          <w:sz w:val="24"/>
          <w:szCs w:val="24"/>
        </w:rPr>
      </w:pPr>
      <w:r>
        <w:rPr>
          <w:b w:val="false"/>
          <w:bCs w:val="false"/>
          <w:color w:val="000000"/>
          <w:sz w:val="24"/>
          <w:szCs w:val="24"/>
        </w:rPr>
        <w:t>3.1. Стоимость продукции должна включать затраты на транспортировку, упаковку, маркировку, страхование, уплату налогов, таможенных пошлин, сборов и все остальные расходы, связанные с исполнением обязательств Участника по договору.</w:t>
      </w:r>
    </w:p>
    <w:p>
      <w:pPr>
        <w:pStyle w:val="Normal"/>
        <w:spacing w:before="0" w:after="120"/>
        <w:ind w:left="1224" w:right="397" w:hanging="504"/>
        <w:jc w:val="both"/>
        <w:rPr>
          <w:b w:val="false"/>
          <w:bCs w:val="false"/>
          <w:color w:val="000000"/>
          <w:sz w:val="24"/>
          <w:szCs w:val="24"/>
        </w:rPr>
      </w:pPr>
      <w:r>
        <w:rPr>
          <w:b w:val="false"/>
          <w:bCs w:val="false"/>
          <w:color w:val="000000"/>
          <w:sz w:val="24"/>
          <w:szCs w:val="24"/>
        </w:rPr>
        <w:t>3.2. В обоснование стоимости своей заявки Участник предоставляет Коммерческое предложение по форме (с учетом прилагаемой к ней инструкции по заполнению), приведенной в Документации о закупке.</w:t>
      </w:r>
    </w:p>
    <w:p>
      <w:pPr>
        <w:sectPr>
          <w:headerReference w:type="default" r:id="rId5"/>
          <w:headerReference w:type="first" r:id="rId6"/>
          <w:type w:val="nextPage"/>
          <w:pgSz w:orient="landscape" w:w="16838" w:h="11906"/>
          <w:pgMar w:left="992" w:right="1134" w:gutter="0" w:header="680" w:top="1134" w:footer="0" w:bottom="567"/>
          <w:pgNumType w:fmt="decimal"/>
          <w:formProt w:val="false"/>
          <w:titlePg/>
          <w:textDirection w:val="lrTb"/>
          <w:docGrid w:type="default" w:linePitch="381" w:charSpace="0"/>
        </w:sectPr>
        <w:pStyle w:val="Normal"/>
        <w:spacing w:before="0" w:after="120"/>
        <w:ind w:left="1224" w:right="397" w:hanging="504"/>
        <w:jc w:val="both"/>
        <w:rPr>
          <w:b w:val="false"/>
          <w:bCs w:val="false"/>
          <w:color w:val="000000"/>
          <w:sz w:val="24"/>
          <w:szCs w:val="24"/>
        </w:rPr>
      </w:pPr>
      <w:r>
        <w:rPr>
          <w:b w:val="false"/>
          <w:bCs w:val="false"/>
          <w:color w:val="000000"/>
          <w:sz w:val="24"/>
          <w:szCs w:val="24"/>
        </w:rPr>
        <w:t>3.3. Дополнительные документы по ценообразованию в состав заявки не включаются.</w:t>
      </w:r>
      <w:r>
        <w:br w:type="page"/>
      </w:r>
    </w:p>
    <w:p>
      <w:pPr>
        <w:pStyle w:val="Normal"/>
        <w:rPr>
          <w:rFonts w:eastAsia="Calibri"/>
          <w:b/>
          <w:iCs/>
          <w:sz w:val="24"/>
          <w:szCs w:val="24"/>
          <w:lang w:val="x-none" w:eastAsia="x-none"/>
        </w:rPr>
      </w:pPr>
      <w:r>
        <w:rPr>
          <w:rFonts w:eastAsia="Calibri"/>
          <w:b/>
          <w:iCs/>
          <w:sz w:val="24"/>
          <w:szCs w:val="24"/>
          <w:lang w:val="x-none" w:eastAsia="x-none"/>
        </w:rPr>
      </w:r>
    </w:p>
    <w:p>
      <w:pPr>
        <w:pStyle w:val="Heading1"/>
        <w:keepLines/>
        <w:numPr>
          <w:ilvl w:val="0"/>
          <w:numId w:val="3"/>
        </w:numPr>
        <w:ind w:left="357" w:hanging="357"/>
        <w:jc w:val="center"/>
        <w:rPr/>
      </w:pPr>
      <w:bookmarkStart w:id="46" w:name="_Toc46743519"/>
      <w:bookmarkStart w:id="47" w:name="_Toc51339699"/>
      <w:bookmarkStart w:id="48" w:name="_Toc194314075"/>
      <w:r>
        <w:rPr>
          <w:iCs/>
        </w:rPr>
        <w:t>Приложения</w:t>
      </w:r>
      <w:bookmarkEnd w:id="46"/>
      <w:bookmarkEnd w:id="47"/>
      <w:bookmarkEnd w:id="48"/>
    </w:p>
    <w:p>
      <w:pPr>
        <w:pStyle w:val="Normal"/>
        <w:rPr>
          <w:lang w:val="x-none" w:eastAsia="x-none"/>
        </w:rPr>
      </w:pPr>
      <w:r>
        <w:rPr>
          <w:lang w:val="x-none" w:eastAsia="x-none"/>
        </w:rPr>
      </w:r>
    </w:p>
    <w:p>
      <w:pPr>
        <w:pStyle w:val="Normal"/>
        <w:ind w:left="1224" w:firstLine="709"/>
        <w:rPr/>
      </w:pPr>
      <w:r>
        <w:rPr>
          <w:lang w:eastAsia="x-none"/>
        </w:rPr>
        <w:t>Приложение №</w:t>
      </w:r>
      <w:r>
        <w:rPr>
          <w:lang w:val="en-US" w:eastAsia="x-none"/>
        </w:rPr>
        <w:t>1</w:t>
      </w:r>
      <w:r>
        <w:rPr>
          <w:lang w:eastAsia="x-none"/>
        </w:rPr>
        <w:t xml:space="preserve">: </w:t>
      </w:r>
      <w:r>
        <w:rPr/>
        <w:t>Корпоративные требования.</w:t>
      </w:r>
    </w:p>
    <w:p>
      <w:pPr>
        <w:pStyle w:val="Normal"/>
        <w:ind w:left="1224" w:firstLine="709"/>
        <w:rPr/>
      </w:pPr>
      <w:r>
        <w:rPr>
          <w:lang w:eastAsia="x-none"/>
        </w:rPr>
        <w:t>Приложение №</w:t>
      </w:r>
      <w:r>
        <w:rPr>
          <w:lang w:val="en-US" w:eastAsia="x-none"/>
        </w:rPr>
        <w:t>2</w:t>
      </w:r>
      <w:r>
        <w:rPr>
          <w:lang w:eastAsia="x-none"/>
        </w:rPr>
        <w:t xml:space="preserve">: </w:t>
      </w:r>
      <w:r>
        <w:rPr>
          <w:lang w:val="en-US"/>
        </w:rPr>
        <w:t>Таблица определения размера.</w:t>
      </w:r>
    </w:p>
    <w:p>
      <w:pPr>
        <w:pStyle w:val="Normal"/>
        <w:ind w:left="1224" w:firstLine="709"/>
        <w:rPr>
          <w:lang w:eastAsia="x-none"/>
        </w:rPr>
      </w:pPr>
      <w:r>
        <w:rPr>
          <w:lang w:eastAsia="x-none"/>
        </w:rPr>
      </w:r>
    </w:p>
    <w:p>
      <w:pPr>
        <w:pStyle w:val="Normal"/>
        <w:ind w:left="1224" w:firstLine="709"/>
        <w:rPr>
          <w:lang w:eastAsia="x-none"/>
        </w:rPr>
      </w:pPr>
      <w:r>
        <w:rPr>
          <w:lang w:eastAsia="x-none"/>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bookmarkStart w:id="49" w:name="_GoBack"/>
      <w:bookmarkStart w:id="50" w:name="_GoBack"/>
      <w:bookmarkEnd w:id="50"/>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ind w:left="1224" w:firstLine="709"/>
        <w:jc w:val="right"/>
        <w:rPr/>
      </w:pPr>
      <w:r>
        <w:rPr>
          <w:lang w:eastAsia="x-none"/>
        </w:rPr>
        <w:t xml:space="preserve">Приложение №1 </w:t>
      </w:r>
    </w:p>
    <w:p>
      <w:pPr>
        <w:pStyle w:val="Normal"/>
        <w:ind w:left="1224" w:firstLine="709"/>
        <w:jc w:val="right"/>
        <w:rPr/>
      </w:pPr>
      <w:r>
        <w:rPr>
          <w:lang w:eastAsia="x-none"/>
        </w:rPr>
        <w:t>к Техническим требованиям</w:t>
      </w:r>
    </w:p>
    <w:p>
      <w:pPr>
        <w:pStyle w:val="Normal"/>
        <w:spacing w:before="0" w:after="120"/>
        <w:jc w:val="center"/>
        <w:rPr>
          <w:b/>
          <w:lang w:eastAsia="x-none"/>
        </w:rPr>
      </w:pPr>
      <w:r>
        <w:rPr>
          <w:b/>
          <w:lang w:eastAsia="x-none"/>
        </w:rPr>
      </w:r>
    </w:p>
    <w:p>
      <w:pPr>
        <w:pStyle w:val="Normal"/>
        <w:widowControl w:val="false"/>
        <w:tabs>
          <w:tab w:val="clear" w:pos="720"/>
          <w:tab w:val="left" w:pos="426" w:leader="none"/>
        </w:tabs>
        <w:spacing w:before="120" w:after="120"/>
        <w:jc w:val="center"/>
        <w:rPr/>
      </w:pPr>
      <w:r>
        <w:rPr>
          <w:b/>
          <w:lang w:eastAsia="x-none"/>
        </w:rPr>
        <w:t>Корпоративные требования</w:t>
      </w:r>
    </w:p>
    <w:p>
      <w:pPr>
        <w:pStyle w:val="ListParagraph"/>
        <w:numPr>
          <w:ilvl w:val="0"/>
          <w:numId w:val="15"/>
        </w:numPr>
        <w:tabs>
          <w:tab w:val="clear" w:pos="720"/>
          <w:tab w:val="left" w:pos="993" w:leader="none"/>
          <w:tab w:val="left" w:pos="1276" w:leader="none"/>
        </w:tabs>
        <w:jc w:val="both"/>
        <w:rPr>
          <w:sz w:val="28"/>
        </w:rPr>
      </w:pPr>
      <w:r>
        <w:rPr>
          <w:sz w:val="28"/>
        </w:rPr>
        <w:t>Специальная одежда должна выполняться в корпоративном стиле Группы РусГидро:</w:t>
      </w:r>
    </w:p>
    <w:p>
      <w:pPr>
        <w:pStyle w:val="ListParagraph"/>
        <w:numPr>
          <w:ilvl w:val="0"/>
          <w:numId w:val="13"/>
        </w:numPr>
        <w:tabs>
          <w:tab w:val="clear" w:pos="720"/>
          <w:tab w:val="left" w:pos="1134" w:leader="none"/>
        </w:tabs>
        <w:ind w:left="0" w:firstLine="709"/>
        <w:jc w:val="both"/>
        <w:rPr>
          <w:sz w:val="28"/>
        </w:rPr>
      </w:pPr>
      <w:r>
        <w:rPr>
          <w:sz w:val="28"/>
        </w:rPr>
        <w:t>основной цвет – темно-синий, василек;</w:t>
      </w:r>
    </w:p>
    <w:p>
      <w:pPr>
        <w:pStyle w:val="ListParagraph"/>
        <w:numPr>
          <w:ilvl w:val="0"/>
          <w:numId w:val="13"/>
        </w:numPr>
        <w:tabs>
          <w:tab w:val="clear" w:pos="720"/>
          <w:tab w:val="left" w:pos="1134" w:leader="none"/>
        </w:tabs>
        <w:ind w:left="0" w:firstLine="709"/>
        <w:jc w:val="both"/>
        <w:rPr>
          <w:sz w:val="28"/>
        </w:rPr>
      </w:pPr>
      <w:r>
        <w:rPr>
          <w:sz w:val="28"/>
        </w:rPr>
        <w:t>цвет отделочной ткани – оранжевый;</w:t>
      </w:r>
    </w:p>
    <w:p>
      <w:pPr>
        <w:pStyle w:val="ListParagraph"/>
        <w:numPr>
          <w:ilvl w:val="0"/>
          <w:numId w:val="13"/>
        </w:numPr>
        <w:tabs>
          <w:tab w:val="clear" w:pos="720"/>
          <w:tab w:val="left" w:pos="1134" w:leader="none"/>
        </w:tabs>
        <w:ind w:left="0" w:firstLine="709"/>
        <w:jc w:val="both"/>
        <w:rPr>
          <w:sz w:val="28"/>
        </w:rPr>
      </w:pPr>
      <w:r>
        <w:rPr>
          <w:sz w:val="28"/>
        </w:rPr>
        <w:t>световозвращающая лента шириной 25-50 мм должна располагаться по кокеткам полочек и спинки, по нижней части рукавов и брюк;</w:t>
      </w:r>
    </w:p>
    <w:p>
      <w:pPr>
        <w:pStyle w:val="ListParagraph"/>
        <w:numPr>
          <w:ilvl w:val="0"/>
          <w:numId w:val="13"/>
        </w:numPr>
        <w:tabs>
          <w:tab w:val="clear" w:pos="720"/>
          <w:tab w:val="left" w:pos="1134" w:leader="none"/>
        </w:tabs>
        <w:ind w:left="0" w:firstLine="709"/>
        <w:jc w:val="both"/>
        <w:rPr>
          <w:sz w:val="28"/>
        </w:rPr>
      </w:pPr>
      <w:r>
        <w:rPr>
          <w:sz w:val="28"/>
        </w:rPr>
        <w:t>световозвращающая лента на костюмах – серая.</w:t>
      </w:r>
    </w:p>
    <w:p>
      <w:pPr>
        <w:pStyle w:val="ListParagraph"/>
        <w:tabs>
          <w:tab w:val="clear" w:pos="720"/>
          <w:tab w:val="left" w:pos="1134" w:leader="none"/>
        </w:tabs>
        <w:ind w:left="709" w:hanging="0"/>
        <w:jc w:val="both"/>
        <w:rPr>
          <w:sz w:val="28"/>
        </w:rPr>
      </w:pPr>
      <w:r>
        <w:rPr>
          <w:sz w:val="28"/>
        </w:rPr>
      </w:r>
    </w:p>
    <w:p>
      <w:pPr>
        <w:pStyle w:val="Normal"/>
        <w:tabs>
          <w:tab w:val="clear" w:pos="720"/>
          <w:tab w:val="left" w:pos="0" w:leader="none"/>
          <w:tab w:val="left" w:pos="1276" w:leader="none"/>
        </w:tabs>
        <w:ind w:left="1224" w:firstLine="709"/>
        <w:jc w:val="both"/>
        <w:rPr>
          <w:szCs w:val="24"/>
        </w:rPr>
      </w:pPr>
      <w:r>
        <w:rPr>
          <w:szCs w:val="24"/>
        </w:rPr>
        <w:t>1.1. Требования к логотипам Группы РусГидро:</w:t>
      </w:r>
    </w:p>
    <w:p>
      <w:pPr>
        <w:pStyle w:val="Normal"/>
        <w:ind w:left="1224" w:firstLine="709"/>
        <w:jc w:val="both"/>
        <w:rPr>
          <w:szCs w:val="24"/>
        </w:rPr>
      </w:pPr>
      <w:r>
        <w:rPr>
          <w:szCs w:val="24"/>
          <w:lang w:val="en-US"/>
        </w:rPr>
        <w:t>1</w:t>
      </w:r>
      <w:r>
        <w:rPr>
          <w:szCs w:val="24"/>
        </w:rPr>
        <w:t>.1.1. Логотип-термопечать:</w:t>
      </w:r>
    </w:p>
    <w:p>
      <w:pPr>
        <w:pStyle w:val="ListParagraph"/>
        <w:numPr>
          <w:ilvl w:val="0"/>
          <w:numId w:val="14"/>
        </w:numPr>
        <w:tabs>
          <w:tab w:val="clear" w:pos="720"/>
          <w:tab w:val="left" w:pos="1134" w:leader="none"/>
        </w:tabs>
        <w:ind w:left="1418" w:hanging="709"/>
        <w:jc w:val="both"/>
        <w:rPr>
          <w:sz w:val="28"/>
        </w:rPr>
      </w:pPr>
      <w:r>
        <w:rPr>
          <w:sz w:val="28"/>
        </w:rPr>
        <w:t>месторасположение логотипа: на спине под кокеткой согласно макету;</w:t>
      </w:r>
    </w:p>
    <w:p>
      <w:pPr>
        <w:pStyle w:val="ListParagraph"/>
        <w:numPr>
          <w:ilvl w:val="0"/>
          <w:numId w:val="14"/>
        </w:numPr>
        <w:tabs>
          <w:tab w:val="clear" w:pos="720"/>
          <w:tab w:val="left" w:pos="1134" w:leader="none"/>
        </w:tabs>
        <w:ind w:left="1418" w:hanging="709"/>
        <w:jc w:val="both"/>
        <w:rPr>
          <w:sz w:val="28"/>
        </w:rPr>
      </w:pPr>
      <w:r>
        <w:rPr>
          <w:sz w:val="28"/>
        </w:rPr>
        <w:t>цветовое сочетание логотипа согласно макету;</w:t>
      </w:r>
    </w:p>
    <w:p>
      <w:pPr>
        <w:pStyle w:val="ListParagraph"/>
        <w:numPr>
          <w:ilvl w:val="0"/>
          <w:numId w:val="14"/>
        </w:numPr>
        <w:tabs>
          <w:tab w:val="clear" w:pos="720"/>
          <w:tab w:val="left" w:pos="1134" w:leader="none"/>
        </w:tabs>
        <w:ind w:left="0" w:firstLine="709"/>
        <w:jc w:val="both"/>
        <w:rPr>
          <w:sz w:val="28"/>
        </w:rPr>
      </w:pPr>
      <w:r>
        <w:rPr>
          <w:sz w:val="28"/>
        </w:rPr>
        <w:t>наименование ПО, ее подразделения/филиала и размер логотипа уточняется при заключении договора.</w:t>
      </w:r>
    </w:p>
    <w:p>
      <w:pPr>
        <w:pStyle w:val="Normal"/>
        <w:tabs>
          <w:tab w:val="clear" w:pos="720"/>
          <w:tab w:val="left" w:pos="1134" w:leader="none"/>
        </w:tabs>
        <w:ind w:left="709" w:hanging="504"/>
        <w:jc w:val="both"/>
        <w:rPr/>
      </w:pPr>
      <w:r>
        <w:rPr/>
      </w:r>
    </w:p>
    <w:p>
      <w:pPr>
        <w:pStyle w:val="Normal"/>
        <w:tabs>
          <w:tab w:val="clear" w:pos="720"/>
          <w:tab w:val="left" w:pos="1134" w:leader="none"/>
        </w:tabs>
        <w:ind w:left="709" w:hanging="504"/>
        <w:jc w:val="center"/>
        <w:rPr/>
      </w:pPr>
      <w:r>
        <w:rPr/>
        <w:drawing>
          <wp:inline distT="0" distB="0" distL="0" distR="0">
            <wp:extent cx="5697220" cy="3165475"/>
            <wp:effectExtent l="0" t="0" r="0" b="0"/>
            <wp:docPr id="3" name="Рисунок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
                    <pic:cNvPicPr>
                      <a:picLocks noChangeAspect="1" noChangeArrowheads="1"/>
                    </pic:cNvPicPr>
                  </pic:nvPicPr>
                  <pic:blipFill>
                    <a:blip r:embed="rId7"/>
                    <a:stretch>
                      <a:fillRect/>
                    </a:stretch>
                  </pic:blipFill>
                  <pic:spPr bwMode="auto">
                    <a:xfrm>
                      <a:off x="0" y="0"/>
                      <a:ext cx="5697220" cy="3165475"/>
                    </a:xfrm>
                    <a:prstGeom prst="rect">
                      <a:avLst/>
                    </a:prstGeom>
                  </pic:spPr>
                </pic:pic>
              </a:graphicData>
            </a:graphic>
          </wp:inline>
        </w:drawing>
      </w:r>
    </w:p>
    <w:p>
      <w:pPr>
        <w:pStyle w:val="Normal"/>
        <w:tabs>
          <w:tab w:val="clear" w:pos="720"/>
          <w:tab w:val="left" w:pos="0" w:leader="none"/>
          <w:tab w:val="left" w:pos="1276" w:leader="none"/>
        </w:tabs>
        <w:ind w:left="1224" w:firstLine="709"/>
        <w:jc w:val="both"/>
        <w:rPr/>
      </w:pPr>
      <w:r>
        <w:rPr/>
      </w:r>
    </w:p>
    <w:p>
      <w:pPr>
        <w:pStyle w:val="Normal"/>
        <w:tabs>
          <w:tab w:val="clear" w:pos="720"/>
          <w:tab w:val="left" w:pos="0" w:leader="none"/>
        </w:tabs>
        <w:ind w:left="1224" w:firstLine="709"/>
        <w:jc w:val="both"/>
        <w:rPr/>
      </w:pPr>
      <w:r>
        <w:rPr/>
        <w:t>1.1.2. Шеврон (термопечать) на клапане левого нагрудного кармана (либо на кармане) (наименование ПО / подразделения/филиала уточняется при заключении договора):</w:t>
      </w:r>
    </w:p>
    <w:p>
      <w:pPr>
        <w:pStyle w:val="ListParagraph"/>
        <w:numPr>
          <w:ilvl w:val="0"/>
          <w:numId w:val="7"/>
        </w:numPr>
        <w:tabs>
          <w:tab w:val="clear" w:pos="720"/>
          <w:tab w:val="left" w:pos="0" w:leader="none"/>
          <w:tab w:val="left" w:pos="1134" w:leader="none"/>
          <w:tab w:val="left" w:pos="2184" w:leader="none"/>
        </w:tabs>
        <w:ind w:left="0" w:firstLine="709"/>
        <w:jc w:val="both"/>
        <w:rPr/>
      </w:pPr>
      <w:r>
        <w:rPr>
          <w:sz w:val="28"/>
          <w:szCs w:val="28"/>
        </w:rPr>
        <w:t>месторасположение – на клапане левого нагрудного кармана или на нагрудном левом кармане;</w:t>
      </w:r>
    </w:p>
    <w:p>
      <w:pPr>
        <w:pStyle w:val="ListParagraph"/>
        <w:numPr>
          <w:ilvl w:val="0"/>
          <w:numId w:val="7"/>
        </w:numPr>
        <w:tabs>
          <w:tab w:val="clear" w:pos="720"/>
          <w:tab w:val="left" w:pos="1134" w:leader="none"/>
        </w:tabs>
        <w:ind w:left="0" w:firstLine="709"/>
        <w:jc w:val="both"/>
        <w:rPr/>
      </w:pPr>
      <w:r>
        <w:rPr>
          <w:sz w:val="28"/>
          <w:szCs w:val="28"/>
        </w:rPr>
        <w:t>цветовое сочетание логотипа согласно макету.</w:t>
      </w:r>
    </w:p>
    <w:p>
      <w:pPr>
        <w:pStyle w:val="Normal"/>
        <w:tabs>
          <w:tab w:val="clear" w:pos="720"/>
          <w:tab w:val="left" w:pos="2184" w:leader="none"/>
        </w:tabs>
        <w:ind w:left="1224" w:firstLine="709"/>
        <w:jc w:val="both"/>
        <w:rPr/>
      </w:pPr>
      <w:r>
        <w:rPr/>
        <w:drawing>
          <wp:anchor behindDoc="0" distT="0" distB="0" distL="0" distR="0" simplePos="0" locked="0" layoutInCell="0" allowOverlap="1" relativeHeight="12">
            <wp:simplePos x="0" y="0"/>
            <wp:positionH relativeFrom="column">
              <wp:posOffset>2113280</wp:posOffset>
            </wp:positionH>
            <wp:positionV relativeFrom="paragraph">
              <wp:posOffset>937260</wp:posOffset>
            </wp:positionV>
            <wp:extent cx="2722880" cy="721995"/>
            <wp:effectExtent l="0" t="0" r="0" b="0"/>
            <wp:wrapNone/>
            <wp:docPr id="4" name="Рисунок 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19" descr=""/>
                    <pic:cNvPicPr>
                      <a:picLocks noChangeAspect="1" noChangeArrowheads="1"/>
                    </pic:cNvPicPr>
                  </pic:nvPicPr>
                  <pic:blipFill>
                    <a:blip r:embed="rId8"/>
                    <a:stretch>
                      <a:fillRect/>
                    </a:stretch>
                  </pic:blipFill>
                  <pic:spPr bwMode="auto">
                    <a:xfrm>
                      <a:off x="0" y="0"/>
                      <a:ext cx="2722880" cy="721995"/>
                    </a:xfrm>
                    <a:prstGeom prst="rect">
                      <a:avLst/>
                    </a:prstGeom>
                  </pic:spPr>
                </pic:pic>
              </a:graphicData>
            </a:graphic>
          </wp:anchor>
        </w:drawing>
        <w:drawing>
          <wp:inline distT="0" distB="0" distL="0" distR="0">
            <wp:extent cx="4843145" cy="3055620"/>
            <wp:effectExtent l="0" t="0" r="0" b="0"/>
            <wp:docPr id="5" name="Рисунок 60" descr="РусГидро_грудь (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60" descr="РусГидро_грудь (002)"/>
                    <pic:cNvPicPr>
                      <a:picLocks noChangeAspect="1" noChangeArrowheads="1"/>
                    </pic:cNvPicPr>
                  </pic:nvPicPr>
                  <pic:blipFill>
                    <a:blip r:embed="rId9"/>
                    <a:stretch>
                      <a:fillRect/>
                    </a:stretch>
                  </pic:blipFill>
                  <pic:spPr bwMode="auto">
                    <a:xfrm>
                      <a:off x="0" y="0"/>
                      <a:ext cx="4843145" cy="3055620"/>
                    </a:xfrm>
                    <a:prstGeom prst="rect">
                      <a:avLst/>
                    </a:prstGeom>
                  </pic:spPr>
                </pic:pic>
              </a:graphicData>
            </a:graphic>
          </wp:inline>
        </w:drawing>
      </w:r>
    </w:p>
    <w:p>
      <w:pPr>
        <w:pStyle w:val="Normal"/>
        <w:tabs>
          <w:tab w:val="clear" w:pos="720"/>
          <w:tab w:val="left" w:pos="1134" w:leader="none"/>
        </w:tabs>
        <w:ind w:left="1224" w:firstLine="709"/>
        <w:rPr/>
      </w:pPr>
      <w:r>
        <w:rPr/>
      </w:r>
    </w:p>
    <w:p>
      <w:pPr>
        <w:pStyle w:val="Normal"/>
        <w:tabs>
          <w:tab w:val="clear" w:pos="720"/>
          <w:tab w:val="left" w:pos="1276" w:leader="none"/>
        </w:tabs>
        <w:ind w:left="1224" w:firstLine="709"/>
        <w:rPr/>
      </w:pPr>
      <w:r>
        <w:rPr/>
        <w:t>1.1.3. Шеврон 2 (эскиз) РусГидро диаметром 60 мм:</w:t>
      </w:r>
    </w:p>
    <w:p>
      <w:pPr>
        <w:pStyle w:val="Normal"/>
        <w:tabs>
          <w:tab w:val="clear" w:pos="720"/>
          <w:tab w:val="left" w:pos="1134" w:leader="none"/>
        </w:tabs>
        <w:ind w:left="1224" w:firstLine="709"/>
        <w:rPr/>
      </w:pPr>
      <w:r>
        <w:rPr/>
        <w:t>-</w:t>
        <w:tab/>
        <w:t>месторасположение – на левом рукаве, 10 см от оката рукава;</w:t>
      </w:r>
    </w:p>
    <w:p>
      <w:pPr>
        <w:pStyle w:val="Normal"/>
        <w:tabs>
          <w:tab w:val="clear" w:pos="720"/>
          <w:tab w:val="left" w:pos="1134" w:leader="none"/>
        </w:tabs>
        <w:ind w:left="1224" w:firstLine="709"/>
        <w:rPr/>
      </w:pPr>
      <w:r>
        <w:rPr/>
        <w:t>-</w:t>
        <w:tab/>
        <w:t>цветовое сочетание шеврона согласно макету:</w:t>
      </w:r>
    </w:p>
    <w:p>
      <w:pPr>
        <w:pStyle w:val="Normal"/>
        <w:jc w:val="center"/>
        <w:rPr/>
      </w:pPr>
      <w:r>
        <w:rPr/>
        <w:drawing>
          <wp:inline distT="0" distB="0" distL="0" distR="0">
            <wp:extent cx="3594735" cy="2028825"/>
            <wp:effectExtent l="0" t="0" r="0" b="0"/>
            <wp:docPr id="6" name="Рисунок 61" descr="РусГидро_рукав (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1" descr="РусГидро_рукав (002)"/>
                    <pic:cNvPicPr>
                      <a:picLocks noChangeAspect="1" noChangeArrowheads="1"/>
                    </pic:cNvPicPr>
                  </pic:nvPicPr>
                  <pic:blipFill>
                    <a:blip r:embed="rId10"/>
                    <a:stretch>
                      <a:fillRect/>
                    </a:stretch>
                  </pic:blipFill>
                  <pic:spPr bwMode="auto">
                    <a:xfrm>
                      <a:off x="0" y="0"/>
                      <a:ext cx="3594735" cy="2028825"/>
                    </a:xfrm>
                    <a:prstGeom prst="rect">
                      <a:avLst/>
                    </a:prstGeom>
                  </pic:spPr>
                </pic:pic>
              </a:graphicData>
            </a:graphic>
          </wp:inline>
        </w:drawing>
      </w:r>
    </w:p>
    <w:p>
      <w:pPr>
        <w:pStyle w:val="Normal"/>
        <w:tabs>
          <w:tab w:val="clear" w:pos="720"/>
          <w:tab w:val="left" w:pos="2184" w:leader="none"/>
        </w:tabs>
        <w:ind w:left="1429" w:hanging="504"/>
        <w:jc w:val="both"/>
        <w:rPr/>
      </w:pPr>
      <w:r>
        <w:rPr/>
      </w:r>
    </w:p>
    <w:p>
      <w:pPr>
        <w:pStyle w:val="Normal"/>
        <w:ind w:left="1224" w:firstLine="709"/>
        <w:jc w:val="both"/>
        <w:rPr>
          <w:szCs w:val="24"/>
        </w:rPr>
      </w:pPr>
      <w:r>
        <w:rPr>
          <w:szCs w:val="24"/>
        </w:rPr>
        <w:t>1.1.4 Логотип касок</w:t>
      </w:r>
    </w:p>
    <w:p>
      <w:pPr>
        <w:pStyle w:val="Normal"/>
        <w:ind w:left="1224" w:firstLine="709"/>
        <w:jc w:val="both"/>
        <w:rPr>
          <w:szCs w:val="24"/>
        </w:rPr>
      </w:pPr>
      <w:r>
        <w:rPr>
          <w:szCs w:val="24"/>
        </w:rPr>
        <w:t xml:space="preserve">Место нанесения – лобная часть каски. На оранжевых и синих касках фирменный блок печатается как на образце. Фирменный блок наносится на фронтальную часть каски. Ширина фирменного блока около 60 мм. Используемые цветовые пантоны: (оранжевый – </w:t>
      </w:r>
      <w:r>
        <w:rPr>
          <w:szCs w:val="24"/>
          <w:lang w:val="en-US"/>
        </w:rPr>
        <w:t>Pantone</w:t>
      </w:r>
      <w:r>
        <w:rPr>
          <w:szCs w:val="24"/>
        </w:rPr>
        <w:t xml:space="preserve"> 165С, синий – </w:t>
      </w:r>
      <w:r>
        <w:rPr>
          <w:szCs w:val="24"/>
          <w:lang w:val="en-US"/>
        </w:rPr>
        <w:t>Pantone</w:t>
      </w:r>
      <w:r>
        <w:rPr>
          <w:szCs w:val="24"/>
        </w:rPr>
        <w:t xml:space="preserve"> 300</w:t>
      </w:r>
      <w:r>
        <w:rPr>
          <w:szCs w:val="24"/>
          <w:lang w:val="en-US"/>
        </w:rPr>
        <w:t>C</w:t>
      </w:r>
      <w:r>
        <w:rPr>
          <w:szCs w:val="24"/>
        </w:rPr>
        <w:t>).</w:t>
      </w:r>
    </w:p>
    <w:p>
      <w:pPr>
        <w:pStyle w:val="Normal"/>
        <w:tabs>
          <w:tab w:val="clear" w:pos="720"/>
          <w:tab w:val="left" w:pos="2184" w:leader="none"/>
        </w:tabs>
        <w:ind w:left="1429" w:hanging="504"/>
        <w:jc w:val="both"/>
        <w:rPr>
          <w:sz w:val="32"/>
        </w:rPr>
      </w:pPr>
      <w:r>
        <w:rPr/>
        <w:drawing>
          <wp:inline distT="0" distB="0" distL="0" distR="0">
            <wp:extent cx="3533775" cy="3619500"/>
            <wp:effectExtent l="0" t="0" r="0" b="0"/>
            <wp:docPr id="7" name="Рисунок 6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2" descr=""/>
                    <pic:cNvPicPr>
                      <a:picLocks noChangeAspect="1" noChangeArrowheads="1"/>
                    </pic:cNvPicPr>
                  </pic:nvPicPr>
                  <pic:blipFill>
                    <a:blip r:embed="rId11"/>
                    <a:stretch>
                      <a:fillRect/>
                    </a:stretch>
                  </pic:blipFill>
                  <pic:spPr bwMode="auto">
                    <a:xfrm>
                      <a:off x="0" y="0"/>
                      <a:ext cx="3533775" cy="3619500"/>
                    </a:xfrm>
                    <a:prstGeom prst="rect">
                      <a:avLst/>
                    </a:prstGeom>
                  </pic:spPr>
                </pic:pic>
              </a:graphicData>
            </a:graphic>
          </wp:inline>
        </w:drawing>
      </w:r>
    </w:p>
    <w:p>
      <w:pPr>
        <w:pStyle w:val="Normal"/>
        <w:tabs>
          <w:tab w:val="clear" w:pos="720"/>
          <w:tab w:val="left" w:pos="2184" w:leader="none"/>
        </w:tabs>
        <w:ind w:left="1429" w:hanging="504"/>
        <w:jc w:val="both"/>
        <w:rPr>
          <w:sz w:val="32"/>
        </w:rPr>
      </w:pPr>
      <w:r>
        <w:rPr>
          <w:sz w:val="32"/>
        </w:rPr>
      </w:r>
    </w:p>
    <w:p>
      <w:pPr>
        <w:pStyle w:val="Normal"/>
        <w:tabs>
          <w:tab w:val="clear" w:pos="720"/>
          <w:tab w:val="left" w:pos="2184" w:leader="none"/>
        </w:tabs>
        <w:ind w:left="1429" w:hanging="504"/>
        <w:jc w:val="both"/>
        <w:rPr>
          <w:sz w:val="32"/>
        </w:rPr>
      </w:pPr>
      <w:r>
        <w:rPr>
          <w:sz w:val="32"/>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sz w:val="24"/>
          <w:szCs w:val="24"/>
        </w:rPr>
        <w:t>Костюм летний от общих производственных загрязнений для ИТР</w:t>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drawing>
          <wp:anchor behindDoc="0" distT="0" distB="0" distL="0" distR="0" simplePos="0" locked="0" layoutInCell="0" allowOverlap="1" relativeHeight="13">
            <wp:simplePos x="0" y="0"/>
            <wp:positionH relativeFrom="column">
              <wp:posOffset>0</wp:posOffset>
            </wp:positionH>
            <wp:positionV relativeFrom="paragraph">
              <wp:posOffset>-635</wp:posOffset>
            </wp:positionV>
            <wp:extent cx="5402580" cy="7637145"/>
            <wp:effectExtent l="0" t="0" r="0" b="0"/>
            <wp:wrapNone/>
            <wp:docPr id="8" name="Рисунок 4" descr="89_Костюм муж летний для ИТР (куртка,брюки)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4" descr="89_Костюм муж летний для ИТР (куртка,брюки)_"/>
                    <pic:cNvPicPr>
                      <a:picLocks noChangeAspect="1" noChangeArrowheads="1"/>
                    </pic:cNvPicPr>
                  </pic:nvPicPr>
                  <pic:blipFill>
                    <a:blip r:embed="rId12"/>
                    <a:stretch>
                      <a:fillRect/>
                    </a:stretch>
                  </pic:blipFill>
                  <pic:spPr bwMode="auto">
                    <a:xfrm>
                      <a:off x="0" y="0"/>
                      <a:ext cx="5402580" cy="7637145"/>
                    </a:xfrm>
                    <a:prstGeom prst="rect">
                      <a:avLst/>
                    </a:prstGeom>
                  </pic:spPr>
                </pic:pic>
              </a:graphicData>
            </a:graphic>
          </wp:anchor>
        </w:drawing>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ind w:left="1224" w:firstLine="709"/>
        <w:jc w:val="both"/>
        <w:rPr>
          <w:sz w:val="24"/>
        </w:rPr>
      </w:pPr>
      <w:r>
        <w:rPr>
          <w:sz w:val="24"/>
        </w:rPr>
      </w:r>
    </w:p>
    <w:p>
      <w:pPr>
        <w:pStyle w:val="Normal"/>
        <w:ind w:left="1224" w:firstLine="709"/>
        <w:jc w:val="both"/>
        <w:rPr>
          <w:sz w:val="24"/>
        </w:rPr>
      </w:pPr>
      <w:r>
        <w:rPr>
          <w:sz w:val="24"/>
        </w:rPr>
      </w:r>
    </w:p>
    <w:p>
      <w:pPr>
        <w:pStyle w:val="Normal"/>
        <w:ind w:left="1224" w:firstLine="709"/>
        <w:jc w:val="both"/>
        <w:rPr>
          <w:sz w:val="24"/>
        </w:rPr>
      </w:pPr>
      <w:r>
        <w:rPr>
          <w:sz w:val="24"/>
        </w:rPr>
      </w:r>
    </w:p>
    <w:p>
      <w:pPr>
        <w:pStyle w:val="Normal"/>
        <w:ind w:left="1224" w:firstLine="709"/>
        <w:jc w:val="both"/>
        <w:rPr>
          <w:sz w:val="24"/>
        </w:rPr>
      </w:pPr>
      <w:r>
        <w:rPr>
          <w:sz w:val="24"/>
        </w:rPr>
      </w:r>
    </w:p>
    <w:p>
      <w:pPr>
        <w:pStyle w:val="Normal"/>
        <w:ind w:left="1224" w:firstLine="709"/>
        <w:jc w:val="both"/>
        <w:rPr>
          <w:sz w:val="24"/>
        </w:rPr>
      </w:pPr>
      <w:r>
        <w:rPr>
          <w:sz w:val="24"/>
        </w:rPr>
        <w:t>Костюм утепленный для защиты от ОПЗ для ИТР</w:t>
      </w:r>
    </w:p>
    <w:p>
      <w:pPr>
        <w:pStyle w:val="Normal"/>
        <w:ind w:left="1224" w:firstLine="709"/>
        <w:jc w:val="both"/>
        <w:rPr/>
      </w:pPr>
      <w:r>
        <w:rPr/>
      </w:r>
    </w:p>
    <w:p>
      <w:pPr>
        <w:pStyle w:val="Normal"/>
        <w:ind w:left="1224" w:firstLine="709"/>
        <w:jc w:val="both"/>
        <w:rPr/>
      </w:pPr>
      <w:bookmarkStart w:id="51" w:name="_Toc150437259"/>
      <w:r>
        <w:rPr/>
        <w:drawing>
          <wp:inline distT="0" distB="0" distL="0" distR="0">
            <wp:extent cx="5099685" cy="7229475"/>
            <wp:effectExtent l="0" t="0" r="0" b="0"/>
            <wp:docPr id="9" name="Рисунок 5"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5" descr="4-1"/>
                    <pic:cNvPicPr>
                      <a:picLocks noChangeAspect="1" noChangeArrowheads="1"/>
                    </pic:cNvPicPr>
                  </pic:nvPicPr>
                  <pic:blipFill>
                    <a:blip r:embed="rId13"/>
                    <a:stretch>
                      <a:fillRect/>
                    </a:stretch>
                  </pic:blipFill>
                  <pic:spPr bwMode="auto">
                    <a:xfrm>
                      <a:off x="0" y="0"/>
                      <a:ext cx="5099685" cy="7229475"/>
                    </a:xfrm>
                    <a:prstGeom prst="rect">
                      <a:avLst/>
                    </a:prstGeom>
                  </pic:spPr>
                </pic:pic>
              </a:graphicData>
            </a:graphic>
          </wp:inline>
        </w:drawing>
      </w:r>
      <w:bookmarkEnd w:id="51"/>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drawing>
          <wp:anchor behindDoc="0" distT="0" distB="0" distL="0" distR="0" simplePos="0" locked="0" layoutInCell="0" allowOverlap="1" relativeHeight="16">
            <wp:simplePos x="0" y="0"/>
            <wp:positionH relativeFrom="margin">
              <wp:align>left</wp:align>
            </wp:positionH>
            <wp:positionV relativeFrom="paragraph">
              <wp:posOffset>203835</wp:posOffset>
            </wp:positionV>
            <wp:extent cx="2608580" cy="2286000"/>
            <wp:effectExtent l="0" t="0" r="0" b="0"/>
            <wp:wrapNone/>
            <wp:docPr id="10" name="Рисунок 53" descr="Каска защитная СОМЗ-55 Favorit бел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53" descr="Каска защитная СОМЗ-55 Favorit белая"/>
                    <pic:cNvPicPr>
                      <a:picLocks noChangeAspect="1" noChangeArrowheads="1"/>
                    </pic:cNvPicPr>
                  </pic:nvPicPr>
                  <pic:blipFill>
                    <a:blip r:embed="rId14"/>
                    <a:srcRect l="24008" t="17812" r="18495" b="3868"/>
                    <a:stretch>
                      <a:fillRect/>
                    </a:stretch>
                  </pic:blipFill>
                  <pic:spPr bwMode="auto">
                    <a:xfrm>
                      <a:off x="0" y="0"/>
                      <a:ext cx="2608580" cy="2286000"/>
                    </a:xfrm>
                    <a:prstGeom prst="rect">
                      <a:avLst/>
                    </a:prstGeom>
                  </pic:spPr>
                </pic:pic>
              </a:graphicData>
            </a:graphic>
          </wp:anchor>
        </w:drawing>
      </w:r>
      <w:r>
        <w:rPr/>
        <w:t>Каска для ИТР</w:t>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t>Каска для рабочих</w:t>
      </w:r>
    </w:p>
    <w:p>
      <w:pPr>
        <w:pStyle w:val="Normal"/>
        <w:ind w:left="1224" w:firstLine="709"/>
        <w:jc w:val="both"/>
        <w:rPr/>
      </w:pPr>
      <w:r>
        <w:rPr/>
      </w:r>
    </w:p>
    <w:p>
      <w:pPr>
        <w:pStyle w:val="Normal"/>
        <w:ind w:left="1224" w:firstLine="709"/>
        <w:jc w:val="both"/>
        <w:rPr/>
      </w:pPr>
      <w:r>
        <w:rPr/>
        <w:drawing>
          <wp:anchor behindDoc="1" distT="0" distB="0" distL="0" distR="0" simplePos="0" locked="0" layoutInCell="0" allowOverlap="1" relativeHeight="17">
            <wp:simplePos x="0" y="0"/>
            <wp:positionH relativeFrom="margin">
              <wp:align>left</wp:align>
            </wp:positionH>
            <wp:positionV relativeFrom="paragraph">
              <wp:posOffset>200025</wp:posOffset>
            </wp:positionV>
            <wp:extent cx="3219450" cy="2570480"/>
            <wp:effectExtent l="0" t="0" r="0" b="0"/>
            <wp:wrapNone/>
            <wp:docPr id="11" name="Рисунок 48" descr="Каска СОМЗ-55 Фаворит оран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48" descr="Каска СОМЗ-55 Фаворит оранж"/>
                    <pic:cNvPicPr>
                      <a:picLocks noChangeAspect="1" noChangeArrowheads="1"/>
                    </pic:cNvPicPr>
                  </pic:nvPicPr>
                  <pic:blipFill>
                    <a:blip r:embed="rId15"/>
                    <a:srcRect l="0" t="24073" r="0" b="0"/>
                    <a:stretch>
                      <a:fillRect/>
                    </a:stretch>
                  </pic:blipFill>
                  <pic:spPr bwMode="auto">
                    <a:xfrm>
                      <a:off x="0" y="0"/>
                      <a:ext cx="3219450" cy="2570480"/>
                    </a:xfrm>
                    <a:prstGeom prst="rect">
                      <a:avLst/>
                    </a:prstGeom>
                  </pic:spPr>
                </pic:pic>
              </a:graphicData>
            </a:graphic>
          </wp:anchor>
        </w:drawing>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b/>
        </w:rPr>
      </w:pPr>
      <w:r>
        <w:rPr>
          <w:b/>
        </w:rPr>
      </w:r>
    </w:p>
    <w:p>
      <w:pPr>
        <w:pStyle w:val="Normal"/>
        <w:ind w:left="1224" w:firstLine="737"/>
        <w:jc w:val="center"/>
        <w:rPr/>
      </w:pPr>
      <w:r>
        <w:rPr>
          <w:b/>
        </w:rPr>
        <w:t>Обувь</w:t>
      </w:r>
    </w:p>
    <w:p>
      <w:pPr>
        <w:pStyle w:val="Normal"/>
        <w:ind w:left="1440" w:firstLine="720"/>
        <w:jc w:val="center"/>
        <w:rPr/>
      </w:pPr>
      <w:r>
        <w:rPr/>
      </w:r>
    </w:p>
    <w:p>
      <w:pPr>
        <w:pStyle w:val="Normal"/>
        <w:ind w:left="1224" w:firstLine="142"/>
        <w:rPr/>
      </w:pPr>
      <w:r>
        <w:rPr>
          <w:rFonts w:eastAsia="Calibri"/>
          <w:color w:val="000000"/>
          <w:szCs w:val="24"/>
          <w:lang w:eastAsia="en-US"/>
        </w:rPr>
        <w:t xml:space="preserve">Ботинки кожаные утепленные </w:t>
      </w:r>
    </w:p>
    <w:p>
      <w:pPr>
        <w:pStyle w:val="Normal"/>
        <w:ind w:left="1440" w:firstLine="720"/>
        <w:rPr/>
      </w:pPr>
      <w:r>
        <w:rPr/>
      </w:r>
    </w:p>
    <w:p>
      <w:pPr>
        <w:pStyle w:val="Normal"/>
        <w:widowControl w:val="false"/>
        <w:tabs>
          <w:tab w:val="clear" w:pos="720"/>
          <w:tab w:val="left" w:pos="426" w:leader="none"/>
        </w:tabs>
        <w:spacing w:before="120" w:after="120"/>
        <w:jc w:val="right"/>
        <w:rPr>
          <w:lang w:eastAsia="x-none"/>
        </w:rPr>
      </w:pPr>
      <w:r>
        <w:rPr>
          <w:lang w:eastAsia="x-none"/>
        </w:rPr>
        <w:drawing>
          <wp:anchor behindDoc="1" distT="0" distB="0" distL="0" distR="0" simplePos="0" locked="0" layoutInCell="0" allowOverlap="1" relativeHeight="15">
            <wp:simplePos x="0" y="0"/>
            <wp:positionH relativeFrom="column">
              <wp:posOffset>2623185</wp:posOffset>
            </wp:positionH>
            <wp:positionV relativeFrom="paragraph">
              <wp:posOffset>71120</wp:posOffset>
            </wp:positionV>
            <wp:extent cx="3670300" cy="3060700"/>
            <wp:effectExtent l="0" t="0" r="0" b="0"/>
            <wp:wrapNone/>
            <wp:docPr id="12" name="Рисунок 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descr=""/>
                    <pic:cNvPicPr>
                      <a:picLocks noChangeAspect="1" noChangeArrowheads="1"/>
                    </pic:cNvPicPr>
                  </pic:nvPicPr>
                  <pic:blipFill>
                    <a:blip r:embed="rId16"/>
                    <a:stretch>
                      <a:fillRect/>
                    </a:stretch>
                  </pic:blipFill>
                  <pic:spPr bwMode="auto">
                    <a:xfrm>
                      <a:off x="0" y="0"/>
                      <a:ext cx="3670300" cy="3060700"/>
                    </a:xfrm>
                    <a:prstGeom prst="rect">
                      <a:avLst/>
                    </a:prstGeom>
                  </pic:spPr>
                </pic:pic>
              </a:graphicData>
            </a:graphic>
          </wp:anchor>
        </w:drawing>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rPr>
          <w:lang w:eastAsia="x-none"/>
        </w:rPr>
      </w:pPr>
      <w:r>
        <w:rPr>
          <w:lang w:eastAsia="x-none"/>
        </w:rPr>
      </w:r>
    </w:p>
    <w:p>
      <w:pPr>
        <w:pStyle w:val="Normal"/>
        <w:widowControl w:val="false"/>
        <w:tabs>
          <w:tab w:val="clear" w:pos="720"/>
          <w:tab w:val="left" w:pos="426" w:leader="none"/>
        </w:tabs>
        <w:spacing w:before="120" w:after="120"/>
        <w:rPr/>
      </w:pPr>
      <w:r>
        <w:rPr>
          <w:lang w:eastAsia="x-none"/>
        </w:rPr>
        <w:t xml:space="preserve"> </w:t>
      </w:r>
      <w:r>
        <w:rPr>
          <w:lang w:eastAsia="x-none"/>
        </w:rPr>
        <w:t xml:space="preserve">Сапоги кожаные утепленные </w:t>
      </w:r>
    </w:p>
    <w:p>
      <w:pPr>
        <w:pStyle w:val="Normal"/>
        <w:widowControl w:val="false"/>
        <w:tabs>
          <w:tab w:val="clear" w:pos="720"/>
          <w:tab w:val="left" w:pos="426" w:leader="none"/>
        </w:tabs>
        <w:spacing w:before="120" w:after="120"/>
        <w:jc w:val="right"/>
        <w:rPr>
          <w:lang w:eastAsia="x-none"/>
        </w:rPr>
      </w:pPr>
      <w:r>
        <w:rPr>
          <w:lang w:eastAsia="x-none"/>
        </w:rPr>
        <w:drawing>
          <wp:anchor behindDoc="0" distT="0" distB="0" distL="0" distR="0" simplePos="0" locked="0" layoutInCell="0" allowOverlap="1" relativeHeight="14">
            <wp:simplePos x="0" y="0"/>
            <wp:positionH relativeFrom="column">
              <wp:posOffset>3089910</wp:posOffset>
            </wp:positionH>
            <wp:positionV relativeFrom="paragraph">
              <wp:posOffset>-76200</wp:posOffset>
            </wp:positionV>
            <wp:extent cx="2679700" cy="3793490"/>
            <wp:effectExtent l="0" t="0" r="0" b="0"/>
            <wp:wrapNone/>
            <wp:docPr id="13" name="Рисунок 3" descr="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3" descr="3823"/>
                    <pic:cNvPicPr>
                      <a:picLocks noChangeAspect="1" noChangeArrowheads="1"/>
                    </pic:cNvPicPr>
                  </pic:nvPicPr>
                  <pic:blipFill>
                    <a:blip r:embed="rId17"/>
                    <a:stretch>
                      <a:fillRect/>
                    </a:stretch>
                  </pic:blipFill>
                  <pic:spPr bwMode="auto">
                    <a:xfrm>
                      <a:off x="0" y="0"/>
                      <a:ext cx="2679700" cy="3793490"/>
                    </a:xfrm>
                    <a:prstGeom prst="rect">
                      <a:avLst/>
                    </a:prstGeom>
                  </pic:spPr>
                </pic:pic>
              </a:graphicData>
            </a:graphic>
          </wp:anchor>
        </w:drawing>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widowControl w:val="false"/>
        <w:tabs>
          <w:tab w:val="clear" w:pos="720"/>
          <w:tab w:val="left" w:pos="426" w:leader="none"/>
        </w:tabs>
        <w:spacing w:before="120" w:after="120"/>
        <w:jc w:val="right"/>
        <w:rPr/>
      </w:pPr>
      <w:r>
        <w:rPr>
          <w:lang w:eastAsia="x-none"/>
        </w:rPr>
        <w:t xml:space="preserve">Приложение №2 </w:t>
      </w:r>
    </w:p>
    <w:p>
      <w:pPr>
        <w:pStyle w:val="Normal"/>
        <w:widowControl w:val="false"/>
        <w:tabs>
          <w:tab w:val="clear" w:pos="720"/>
          <w:tab w:val="left" w:pos="426" w:leader="none"/>
        </w:tabs>
        <w:spacing w:before="120" w:after="120"/>
        <w:jc w:val="right"/>
        <w:rPr/>
      </w:pPr>
      <w:r>
        <w:rPr>
          <w:lang w:eastAsia="x-none"/>
        </w:rPr>
        <w:t>к Техническим требованиям</w:t>
      </w:r>
    </w:p>
    <w:p>
      <w:pPr>
        <w:pStyle w:val="Normal"/>
        <w:widowControl w:val="false"/>
        <w:tabs>
          <w:tab w:val="clear" w:pos="720"/>
          <w:tab w:val="left" w:pos="426" w:leader="none"/>
        </w:tabs>
        <w:spacing w:before="120" w:after="120"/>
        <w:jc w:val="center"/>
        <w:rPr>
          <w:i/>
          <w:i/>
          <w:iCs/>
          <w:sz w:val="24"/>
          <w:szCs w:val="24"/>
          <w:shd w:fill="FFFF99" w:val="clear"/>
        </w:rPr>
      </w:pPr>
      <w:r>
        <w:rPr>
          <w:i/>
          <w:iCs/>
          <w:sz w:val="24"/>
          <w:szCs w:val="24"/>
          <w:shd w:fill="FFFF99" w:val="clear"/>
        </w:rPr>
      </w:r>
    </w:p>
    <w:p>
      <w:pPr>
        <w:pStyle w:val="Normal"/>
        <w:ind w:left="1224" w:firstLine="709"/>
        <w:jc w:val="center"/>
        <w:rPr/>
      </w:pPr>
      <w:r>
        <w:rPr>
          <w:b/>
        </w:rPr>
        <w:t>Таблица определения размера по ГОСТ 12.4.280—2014</w:t>
      </w:r>
    </w:p>
    <w:p>
      <w:pPr>
        <w:pStyle w:val="Normal"/>
        <w:ind w:left="1224" w:firstLine="709"/>
        <w:jc w:val="center"/>
        <w:rPr>
          <w:b/>
        </w:rPr>
      </w:pPr>
      <w:r>
        <w:rPr>
          <w:b/>
        </w:rPr>
      </w:r>
    </w:p>
    <w:p>
      <w:pPr>
        <w:pStyle w:val="Heading2"/>
        <w:numPr>
          <w:ilvl w:val="0"/>
          <w:numId w:val="8"/>
        </w:numPr>
        <w:jc w:val="center"/>
        <w:rPr/>
      </w:pPr>
      <w:bookmarkStart w:id="52" w:name="_Toc194314076"/>
      <w:r>
        <w:rPr/>
        <w:t>Определение размера мужской спецодежды</w:t>
      </w:r>
      <w:bookmarkEnd w:id="52"/>
    </w:p>
    <w:tbl>
      <w:tblPr>
        <w:tblW w:w="9750" w:type="dxa"/>
        <w:jc w:val="center"/>
        <w:tblInd w:w="0" w:type="dxa"/>
        <w:tblLayout w:type="fixed"/>
        <w:tblCellMar>
          <w:top w:w="15" w:type="dxa"/>
          <w:left w:w="22" w:type="dxa"/>
          <w:bottom w:w="15" w:type="dxa"/>
          <w:right w:w="22" w:type="dxa"/>
        </w:tblCellMar>
        <w:tblLook w:val="04a0" w:noHBand="0" w:noVBand="1" w:firstColumn="1" w:lastRow="0" w:lastColumn="0" w:firstRow="1"/>
      </w:tblPr>
      <w:tblGrid>
        <w:gridCol w:w="4290"/>
        <w:gridCol w:w="5459"/>
      </w:tblGrid>
      <w:tr>
        <w:trPr/>
        <w:tc>
          <w:tcPr>
            <w:tcW w:w="4290"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rStyle w:val="Strong"/>
                <w:color w:val="666666"/>
                <w:sz w:val="21"/>
                <w:szCs w:val="21"/>
                <w:shd w:fill="FFFFFF" w:val="clear"/>
              </w:rPr>
              <w:t> </w:t>
            </w:r>
            <w:r>
              <w:rPr>
                <w:rStyle w:val="Strong"/>
                <w:color w:val="666666"/>
                <w:sz w:val="21"/>
                <w:szCs w:val="21"/>
                <w:shd w:fill="FFFFFF" w:val="clear"/>
              </w:rPr>
              <w:t>Маркировка размера на изделии</w:t>
            </w:r>
          </w:p>
        </w:tc>
        <w:tc>
          <w:tcPr>
            <w:tcW w:w="5459"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rStyle w:val="Strong"/>
                <w:color w:val="666666"/>
                <w:sz w:val="21"/>
                <w:szCs w:val="21"/>
                <w:shd w:fill="FFFFFF" w:val="clear"/>
              </w:rPr>
              <w:t>Соответствие обхвату груди человека в см</w:t>
            </w:r>
          </w:p>
        </w:tc>
      </w:tr>
      <w:tr>
        <w:trPr/>
        <w:tc>
          <w:tcPr>
            <w:tcW w:w="4290"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88 – 92</w:t>
            </w:r>
          </w:p>
        </w:tc>
        <w:tc>
          <w:tcPr>
            <w:tcW w:w="5459"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от 86,0 до 93,9</w:t>
            </w:r>
          </w:p>
        </w:tc>
      </w:tr>
      <w:tr>
        <w:trPr/>
        <w:tc>
          <w:tcPr>
            <w:tcW w:w="4290"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96 – 100</w:t>
            </w:r>
          </w:p>
        </w:tc>
        <w:tc>
          <w:tcPr>
            <w:tcW w:w="5459"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от 94,0 до 101,9</w:t>
            </w:r>
          </w:p>
        </w:tc>
      </w:tr>
      <w:tr>
        <w:trPr/>
        <w:tc>
          <w:tcPr>
            <w:tcW w:w="4290"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104 – 108</w:t>
            </w:r>
          </w:p>
        </w:tc>
        <w:tc>
          <w:tcPr>
            <w:tcW w:w="5459"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от 102,0 до 109,9</w:t>
            </w:r>
          </w:p>
        </w:tc>
      </w:tr>
      <w:tr>
        <w:trPr/>
        <w:tc>
          <w:tcPr>
            <w:tcW w:w="4290"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112 – 116</w:t>
            </w:r>
          </w:p>
        </w:tc>
        <w:tc>
          <w:tcPr>
            <w:tcW w:w="5459"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от 110,0 до 117,9</w:t>
            </w:r>
          </w:p>
        </w:tc>
      </w:tr>
      <w:tr>
        <w:trPr/>
        <w:tc>
          <w:tcPr>
            <w:tcW w:w="4290"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120 – 124</w:t>
            </w:r>
          </w:p>
        </w:tc>
        <w:tc>
          <w:tcPr>
            <w:tcW w:w="5459"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от 118,0 до 123,9</w:t>
            </w:r>
          </w:p>
        </w:tc>
      </w:tr>
      <w:tr>
        <w:trPr/>
        <w:tc>
          <w:tcPr>
            <w:tcW w:w="4290"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128 – 132</w:t>
            </w:r>
          </w:p>
        </w:tc>
        <w:tc>
          <w:tcPr>
            <w:tcW w:w="5459"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от 126,0 до 133,9</w:t>
            </w:r>
          </w:p>
        </w:tc>
      </w:tr>
    </w:tbl>
    <w:p>
      <w:pPr>
        <w:pStyle w:val="Normal"/>
        <w:rPr>
          <w:color w:val="384E5E"/>
          <w:sz w:val="21"/>
          <w:szCs w:val="21"/>
        </w:rPr>
      </w:pPr>
      <w:r>
        <w:rPr>
          <w:color w:val="384E5E"/>
          <w:sz w:val="21"/>
          <w:szCs w:val="21"/>
        </w:rPr>
      </w:r>
    </w:p>
    <w:tbl>
      <w:tblPr>
        <w:tblW w:w="9750" w:type="dxa"/>
        <w:jc w:val="center"/>
        <w:tblInd w:w="0" w:type="dxa"/>
        <w:tblLayout w:type="fixed"/>
        <w:tblCellMar>
          <w:top w:w="15" w:type="dxa"/>
          <w:left w:w="22" w:type="dxa"/>
          <w:bottom w:w="15" w:type="dxa"/>
          <w:right w:w="22" w:type="dxa"/>
        </w:tblCellMar>
        <w:tblLook w:val="04a0" w:noHBand="0" w:noVBand="1" w:firstColumn="1" w:lastRow="0" w:lastColumn="0" w:firstRow="1"/>
      </w:tblPr>
      <w:tblGrid>
        <w:gridCol w:w="4299"/>
        <w:gridCol w:w="5450"/>
      </w:tblGrid>
      <w:tr>
        <w:trPr/>
        <w:tc>
          <w:tcPr>
            <w:tcW w:w="4299"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rStyle w:val="Strong"/>
                <w:color w:val="666666"/>
                <w:sz w:val="21"/>
                <w:szCs w:val="21"/>
                <w:shd w:fill="FFFFFF" w:val="clear"/>
              </w:rPr>
              <w:t>Маркировка роста на изделии</w:t>
            </w:r>
          </w:p>
        </w:tc>
        <w:tc>
          <w:tcPr>
            <w:tcW w:w="5450"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rStyle w:val="Strong"/>
                <w:color w:val="666666"/>
                <w:sz w:val="21"/>
                <w:szCs w:val="21"/>
                <w:shd w:fill="FFFFFF" w:val="clear"/>
              </w:rPr>
              <w:t> </w:t>
            </w:r>
            <w:r>
              <w:rPr>
                <w:rStyle w:val="Strong"/>
                <w:color w:val="666666"/>
                <w:sz w:val="21"/>
                <w:szCs w:val="21"/>
                <w:shd w:fill="FFFFFF" w:val="clear"/>
              </w:rPr>
              <w:t>Соответствующий рост человека в см</w:t>
            </w:r>
          </w:p>
        </w:tc>
      </w:tr>
      <w:tr>
        <w:trPr/>
        <w:tc>
          <w:tcPr>
            <w:tcW w:w="4299"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158 – 164</w:t>
            </w:r>
          </w:p>
        </w:tc>
        <w:tc>
          <w:tcPr>
            <w:tcW w:w="5450"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от 155,0 до 166,9</w:t>
            </w:r>
          </w:p>
        </w:tc>
      </w:tr>
      <w:tr>
        <w:trPr/>
        <w:tc>
          <w:tcPr>
            <w:tcW w:w="4299"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170 – 176</w:t>
            </w:r>
          </w:p>
        </w:tc>
        <w:tc>
          <w:tcPr>
            <w:tcW w:w="5450"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от 167,0 до 178,9</w:t>
            </w:r>
          </w:p>
        </w:tc>
      </w:tr>
      <w:tr>
        <w:trPr/>
        <w:tc>
          <w:tcPr>
            <w:tcW w:w="4299"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182 – 188</w:t>
            </w:r>
          </w:p>
        </w:tc>
        <w:tc>
          <w:tcPr>
            <w:tcW w:w="5450"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от 179,0 до 191,0</w:t>
            </w:r>
          </w:p>
        </w:tc>
      </w:tr>
      <w:tr>
        <w:trPr/>
        <w:tc>
          <w:tcPr>
            <w:tcW w:w="4299"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lang w:val="en-US"/>
              </w:rPr>
              <w:t xml:space="preserve">      </w:t>
            </w:r>
            <w:r>
              <w:rPr>
                <w:color w:val="384E5E"/>
                <w:sz w:val="21"/>
                <w:szCs w:val="21"/>
                <w:shd w:fill="FFFFFF" w:val="clear"/>
              </w:rPr>
              <w:t>194 – 200</w:t>
              <w:tab/>
            </w:r>
          </w:p>
        </w:tc>
        <w:tc>
          <w:tcPr>
            <w:tcW w:w="5450"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от 191,0 до 203,0</w:t>
            </w:r>
          </w:p>
        </w:tc>
      </w:tr>
    </w:tbl>
    <w:p>
      <w:pPr>
        <w:pStyle w:val="Normal"/>
        <w:rPr/>
      </w:pPr>
      <w:r>
        <w:rPr/>
      </w:r>
    </w:p>
    <w:p>
      <w:pPr>
        <w:pStyle w:val="Normal"/>
        <w:rPr/>
      </w:pPr>
      <w:r>
        <mc:AlternateContent>
          <mc:Choice Requires="wps">
            <w:drawing>
              <wp:anchor behindDoc="0" distT="5715" distB="5080" distL="5715" distR="5080" simplePos="0" locked="0" layoutInCell="0" allowOverlap="1" relativeHeight="9" wp14:anchorId="29ECF54E">
                <wp:simplePos x="0" y="0"/>
                <wp:positionH relativeFrom="column">
                  <wp:posOffset>2061210</wp:posOffset>
                </wp:positionH>
                <wp:positionV relativeFrom="paragraph">
                  <wp:posOffset>182880</wp:posOffset>
                </wp:positionV>
                <wp:extent cx="1533525" cy="635"/>
                <wp:effectExtent l="5715" t="5715" r="5080" b="5080"/>
                <wp:wrapNone/>
                <wp:docPr id="14" name=" 36"/>
                <a:graphic xmlns:a="http://schemas.openxmlformats.org/drawingml/2006/main">
                  <a:graphicData uri="http://schemas.microsoft.com/office/word/2010/wordprocessingShape">
                    <wps:wsp>
                      <wps:cNvSpPr/>
                      <wps:spPr>
                        <a:xfrm>
                          <a:off x="0" y="0"/>
                          <a:ext cx="1533600" cy="720"/>
                        </a:xfrm>
                        <a:prstGeom prst="straightConnector1">
                          <a:avLst/>
                        </a:prstGeom>
                        <a:noFill/>
                        <a:ln w="9525">
                          <a:solidFill>
                            <a:srgbClr val="000000"/>
                          </a:solidFill>
                          <a:round/>
                        </a:ln>
                      </wps:spPr>
                      <wps:style>
                        <a:lnRef idx="0"/>
                        <a:fillRef idx="0"/>
                        <a:effectRef idx="0"/>
                        <a:fontRef idx="minor"/>
                      </wps:style>
                      <wps:bodyPr/>
                    </wps:wsp>
                  </a:graphicData>
                </a:graphic>
              </wp:anchor>
            </w:drawing>
          </mc:Choice>
          <mc:Fallback>
            <w:pict>
              <v:shapetype id="_x0000_t32" coordsize="21600,21600" o:spt="32" path="m,l21600,21600nfe">
                <v:stroke joinstyle="miter"/>
                <v:path gradientshapeok="t" o:connecttype="rect" textboxrect="0,0,21600,21600"/>
              </v:shapetype>
              <v:shape id="shape_0" ID=" 36" path="m0,0l-2147483648,-2147483647e" stroked="t" o:allowincell="f" style="position:absolute;margin-left:162.3pt;margin-top:14.4pt;width:120.7pt;height:0pt;mso-wrap-style:none;v-text-anchor:middle" wp14:anchorId="29ECF54E" type="_x0000_t32">
                <v:fill o:detectmouseclick="t" on="false"/>
                <v:stroke color="black" weight="9360" joinstyle="round" endcap="flat"/>
                <w10:wrap type="none"/>
              </v:shape>
            </w:pict>
          </mc:Fallback>
        </mc:AlternateContent>
        <mc:AlternateContent>
          <mc:Choice Requires="wps">
            <w:drawing>
              <wp:anchor behindDoc="0" distT="0" distB="635" distL="36830" distR="37465" simplePos="0" locked="0" layoutInCell="0" allowOverlap="1" relativeHeight="10" wp14:anchorId="0D1401FF">
                <wp:simplePos x="0" y="0"/>
                <wp:positionH relativeFrom="column">
                  <wp:posOffset>3584575</wp:posOffset>
                </wp:positionH>
                <wp:positionV relativeFrom="paragraph">
                  <wp:posOffset>175260</wp:posOffset>
                </wp:positionV>
                <wp:extent cx="45720" cy="2457450"/>
                <wp:effectExtent l="36830" t="0" r="37465" b="635"/>
                <wp:wrapNone/>
                <wp:docPr id="15" name=" 38"/>
                <a:graphic xmlns:a="http://schemas.openxmlformats.org/drawingml/2006/main">
                  <a:graphicData uri="http://schemas.microsoft.com/office/word/2010/wordprocessingShape">
                    <wps:wsp>
                      <wps:cNvSpPr/>
                      <wps:spPr>
                        <a:xfrm>
                          <a:off x="0" y="0"/>
                          <a:ext cx="45720" cy="2457360"/>
                        </a:xfrm>
                        <a:prstGeom prst="straightConnector1">
                          <a:avLst/>
                        </a:prstGeom>
                        <a:noFill/>
                        <a:ln w="9525">
                          <a:solidFill>
                            <a:srgbClr val="000000"/>
                          </a:solidFill>
                          <a:round/>
                          <a:headEnd len="med" type="triangle" w="med"/>
                          <a:tailEnd len="med" type="triangle" w="med"/>
                        </a:ln>
                      </wps:spPr>
                      <wps:style>
                        <a:lnRef idx="0"/>
                        <a:fillRef idx="0"/>
                        <a:effectRef idx="0"/>
                        <a:fontRef idx="minor"/>
                      </wps:style>
                      <wps:bodyPr/>
                    </wps:wsp>
                  </a:graphicData>
                </a:graphic>
              </wp:anchor>
            </w:drawing>
          </mc:Choice>
          <mc:Fallback>
            <w:pict>
              <v:shape id="shape_0" ID=" 38" path="m0,0l-2147483648,-2147483647e" stroked="t" o:allowincell="f" style="position:absolute;margin-left:282.25pt;margin-top:13.8pt;width:3.55pt;height:193.45pt;mso-wrap-style:none;v-text-anchor:middle" wp14:anchorId="0D1401FF" type="_x0000_t32">
                <v:fill o:detectmouseclick="t" on="false"/>
                <v:stroke color="black" weight="9360" startarrow="block" endarrow="block" startarrowwidth="medium" startarrowlength="medium" endarrowwidth="medium" endarrowlength="medium" joinstyle="round" endcap="flat"/>
                <w10:wrap type="none"/>
              </v:shape>
            </w:pict>
          </mc:Fallback>
        </mc:AlternateContent>
        <mc:AlternateContent>
          <mc:Choice Requires="wps">
            <w:drawing>
              <wp:anchor behindDoc="0" distT="5715" distB="5080" distL="5715" distR="5080" simplePos="0" locked="0" layoutInCell="0" allowOverlap="1" relativeHeight="11" wp14:anchorId="5F600D2D">
                <wp:simplePos x="0" y="0"/>
                <wp:positionH relativeFrom="column">
                  <wp:posOffset>2101215</wp:posOffset>
                </wp:positionH>
                <wp:positionV relativeFrom="paragraph">
                  <wp:posOffset>2637155</wp:posOffset>
                </wp:positionV>
                <wp:extent cx="1533525" cy="635"/>
                <wp:effectExtent l="5715" t="5715" r="5080" b="5080"/>
                <wp:wrapNone/>
                <wp:docPr id="16" name=" 36"/>
                <a:graphic xmlns:a="http://schemas.openxmlformats.org/drawingml/2006/main">
                  <a:graphicData uri="http://schemas.microsoft.com/office/word/2010/wordprocessingShape">
                    <wps:wsp>
                      <wps:cNvSpPr/>
                      <wps:spPr>
                        <a:xfrm>
                          <a:off x="0" y="0"/>
                          <a:ext cx="1533600" cy="720"/>
                        </a:xfrm>
                        <a:prstGeom prst="straightConnector1">
                          <a:avLst/>
                        </a:prstGeom>
                        <a:noFill/>
                        <a:ln w="9525">
                          <a:solidFill>
                            <a:srgbClr val="000000"/>
                          </a:solidFill>
                          <a:round/>
                        </a:ln>
                      </wps:spPr>
                      <wps:style>
                        <a:lnRef idx="0"/>
                        <a:fillRef idx="0"/>
                        <a:effectRef idx="0"/>
                        <a:fontRef idx="minor"/>
                      </wps:style>
                      <wps:bodyPr/>
                    </wps:wsp>
                  </a:graphicData>
                </a:graphic>
              </wp:anchor>
            </w:drawing>
          </mc:Choice>
          <mc:Fallback>
            <w:pict>
              <v:shape id="shape_0" ID=" 36" path="m0,0l-2147483648,-2147483647e" stroked="t" o:allowincell="f" style="position:absolute;margin-left:165.45pt;margin-top:207.65pt;width:120.7pt;height:0pt;mso-wrap-style:none;v-text-anchor:middle" wp14:anchorId="5F600D2D" type="_x0000_t32">
                <v:fill o:detectmouseclick="t" on="false"/>
                <v:stroke color="black" weight="9360" joinstyle="round" endcap="flat"/>
                <w10:wrap type="none"/>
              </v:shape>
            </w:pict>
          </mc:Fallback>
        </mc:AlternateContent>
      </w:r>
      <w:r>
        <w:rPr/>
        <w:drawing>
          <wp:inline distT="0" distB="0" distL="0" distR="0">
            <wp:extent cx="2209800" cy="2744470"/>
            <wp:effectExtent l="0" t="0" r="0" b="0"/>
            <wp:docPr id="17" name="Изображение2" descr="Размеры спецодежд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Изображение2" descr="Размеры спецодежды"/>
                    <pic:cNvPicPr>
                      <a:picLocks noChangeAspect="1" noChangeArrowheads="1"/>
                    </pic:cNvPicPr>
                  </pic:nvPicPr>
                  <pic:blipFill>
                    <a:blip r:embed="rId18"/>
                    <a:stretch>
                      <a:fillRect/>
                    </a:stretch>
                  </pic:blipFill>
                  <pic:spPr bwMode="auto">
                    <a:xfrm>
                      <a:off x="0" y="0"/>
                      <a:ext cx="2209800" cy="2744470"/>
                    </a:xfrm>
                    <a:prstGeom prst="rect">
                      <a:avLst/>
                    </a:prstGeom>
                  </pic:spPr>
                </pic:pic>
              </a:graphicData>
            </a:graphic>
          </wp:inline>
        </w:drawing>
      </w:r>
      <w:r>
        <w:rPr/>
        <w:t xml:space="preserve"> </w:t>
      </w:r>
      <w:r>
        <w:rPr/>
        <w:t>Рост</w:t>
      </w:r>
    </w:p>
    <w:p>
      <w:pPr>
        <w:pStyle w:val="Normal"/>
        <w:rPr/>
      </w:pPr>
      <w:r>
        <w:rPr/>
      </w:r>
    </w:p>
    <w:sectPr>
      <w:headerReference w:type="default" r:id="rId19"/>
      <w:headerReference w:type="first" r:id="rId20"/>
      <w:type w:val="nextPage"/>
      <w:pgSz w:w="11906" w:h="16838"/>
      <w:pgMar w:left="1134" w:right="851" w:gutter="0" w:header="680" w:top="1134" w:footer="0" w:bottom="992"/>
      <w:pgNumType w:fmt="decimal"/>
      <w:formProt w:val="false"/>
      <w:titlePg/>
      <w:textDirection w:val="lrTb"/>
      <w:docGrid w:type="default" w:linePitch="381"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Times New Roman">
    <w:charset w:val="01"/>
    <w:family w:val="roman"/>
    <w:pitch w:val="variable"/>
  </w:font>
  <w:font w:name="Cambria">
    <w:charset w:val="01"/>
    <w:family w:val="roman"/>
    <w:pitch w:val="variable"/>
  </w:font>
  <w:font w:name="Arial">
    <w:charset w:val="01"/>
    <w:family w:val="roman"/>
    <w:pitch w:val="variable"/>
  </w:font>
  <w:font w:name="Calibri">
    <w:charset w:val="01"/>
    <w:family w:val="roman"/>
    <w:pitch w:val="variable"/>
  </w:font>
  <w:font w:name="Liberation Sans">
    <w:altName w:val="Arial"/>
    <w:charset w:val="01"/>
    <w:family w:val="roman"/>
    <w:pitch w:val="variable"/>
  </w:font>
  <w:font w:name="Tahoma">
    <w:charset w:val="01"/>
    <w:family w:val="roman"/>
    <w:pitch w:val="variable"/>
  </w:font>
  <w:font w:name="Arial Unicode MS">
    <w:charset w:val="01"/>
    <w:family w:val="roman"/>
    <w:pitch w:val="variable"/>
  </w:font>
  <w:font w:name="Verdana">
    <w:charset w:val="01"/>
    <w:family w:val="roman"/>
    <w:pitch w:val="variable"/>
  </w:font>
  <w:font w:name="Garamond">
    <w:charset w:val="01"/>
    <w:family w:val="roman"/>
    <w:pitch w:val="variable"/>
  </w:font>
  <w:font w:name="Courier New">
    <w:charset w:val="01"/>
    <w:family w:val="modern"/>
    <w:pitch w:val="fixed"/>
  </w:font>
  <w:font w:name="Wingdings">
    <w:charset w:val="02"/>
    <w:family w:val="auto"/>
    <w:pitch w:val="default"/>
  </w:font>
  <w:font w:name="Symbol">
    <w:charset w:val="02"/>
    <w:family w:val="auto"/>
    <w:pitch w:val="default"/>
  </w:font>
</w:fonts>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mc:AlternateContent>
        <mc:Choice Requires="wps">
          <w:drawing>
            <wp:anchor behindDoc="1" distT="0" distB="0" distL="0" distR="0" simplePos="0" locked="0" layoutInCell="0" allowOverlap="1" relativeHeight="8">
              <wp:simplePos x="0" y="0"/>
              <wp:positionH relativeFrom="margin">
                <wp:align>center</wp:align>
              </wp:positionH>
              <wp:positionV relativeFrom="paragraph">
                <wp:posOffset>635</wp:posOffset>
              </wp:positionV>
              <wp:extent cx="14605" cy="14605"/>
              <wp:effectExtent l="0" t="0" r="0" b="0"/>
              <wp:wrapSquare wrapText="bothSides"/>
              <wp:docPr id="1" name="Врезка1"/>
              <a:graphic xmlns:a="http://schemas.openxmlformats.org/drawingml/2006/main">
                <a:graphicData uri="http://schemas.microsoft.com/office/word/2010/wordprocessingShape">
                  <wps:wsp>
                    <wps:cNvSpPr/>
                    <wps:spPr>
                      <a:xfrm>
                        <a:off x="0" y="0"/>
                        <a:ext cx="14760" cy="14760"/>
                      </a:xfrm>
                      <a:prstGeom prst="rect">
                        <a:avLst/>
                      </a:prstGeom>
                      <a:noFill/>
                      <a:ln w="0">
                        <a:noFill/>
                      </a:ln>
                    </wps:spPr>
                    <wps:style>
                      <a:lnRef idx="0"/>
                      <a:fillRef idx="0"/>
                      <a:effectRef idx="0"/>
                      <a:fontRef idx="minor"/>
                    </wps:style>
                    <wps:txbx>
                      <w:txbxContent>
                        <w:p>
                          <w:pPr>
                            <w:pStyle w:val="Header"/>
                            <w:rPr>
                              <w:rStyle w:val="Pagenumber"/>
                            </w:rPr>
                          </w:pPr>
                          <w:r>
                            <w:rPr>
                              <w:rStyle w:val="Pagenumber"/>
                              <w:color w:val="000000"/>
                            </w:rPr>
                            <w:fldChar w:fldCharType="begin"/>
                          </w:r>
                          <w:r>
                            <w:rPr>
                              <w:rStyle w:val="Pagenumber"/>
                              <w:color w:val="000000"/>
                            </w:rPr>
                            <w:instrText xml:space="preserve"> PAGE </w:instrText>
                          </w:r>
                          <w:r>
                            <w:rPr>
                              <w:rStyle w:val="Pagenumber"/>
                              <w:color w:val="000000"/>
                            </w:rPr>
                            <w:fldChar w:fldCharType="separate"/>
                          </w:r>
                          <w:r>
                            <w:rPr>
                              <w:rStyle w:val="Pagenumber"/>
                              <w:color w:val="000000"/>
                            </w:rPr>
                            <w:t>0</w:t>
                          </w:r>
                          <w:r>
                            <w:rPr>
                              <w:rStyle w:val="Pagenumber"/>
                              <w:color w:val="000000"/>
                            </w:rPr>
                            <w:fldChar w:fldCharType="end"/>
                          </w:r>
                        </w:p>
                      </w:txbxContent>
                    </wps:txbx>
                    <wps:bodyPr lIns="0" rIns="0" tIns="0" bIns="0" anchor="t">
                      <a:spAutoFit/>
                    </wps:bodyPr>
                  </wps:wsp>
                </a:graphicData>
              </a:graphic>
            </wp:anchor>
          </w:drawing>
        </mc:Choice>
        <mc:Fallback>
          <w:pict>
            <v:rect id="shape_0" ID="Врезка1" path="m0,0l-2147483645,0l-2147483645,-2147483646l0,-2147483646xe" stroked="f" o:allowincell="f" style="position:absolute;margin-left:0pt;margin-top:0.05pt;width:1.1pt;height:1.1pt;mso-wrap-style:square;v-text-anchor:top;mso-position-horizontal:center;mso-position-horizontal-relative:margin">
              <v:fill o:detectmouseclick="t" on="false"/>
              <v:stroke color="#3465a4" joinstyle="round" endcap="flat"/>
              <v:textbox>
                <w:txbxContent>
                  <w:p>
                    <w:pPr>
                      <w:pStyle w:val="Header"/>
                      <w:rPr>
                        <w:rStyle w:val="Pagenumber"/>
                      </w:rPr>
                    </w:pPr>
                    <w:r>
                      <w:rPr>
                        <w:rStyle w:val="Pagenumber"/>
                        <w:color w:val="000000"/>
                      </w:rPr>
                      <w:fldChar w:fldCharType="begin"/>
                    </w:r>
                    <w:r>
                      <w:rPr>
                        <w:rStyle w:val="Pagenumber"/>
                        <w:color w:val="000000"/>
                      </w:rPr>
                      <w:instrText xml:space="preserve"> PAGE </w:instrText>
                    </w:r>
                    <w:r>
                      <w:rPr>
                        <w:rStyle w:val="Pagenumber"/>
                        <w:color w:val="000000"/>
                      </w:rPr>
                      <w:fldChar w:fldCharType="separate"/>
                    </w:r>
                    <w:r>
                      <w:rPr>
                        <w:rStyle w:val="Pagenumber"/>
                        <w:color w:val="000000"/>
                      </w:rPr>
                      <w:t>0</w:t>
                    </w:r>
                    <w:r>
                      <w:rPr>
                        <w:rStyle w:val="Pagenumber"/>
                        <w:color w:val="000000"/>
                      </w:rPr>
                      <w:fldChar w:fldCharType="end"/>
                    </w:r>
                  </w:p>
                </w:txbxContent>
              </v:textbox>
              <w10:wrap type="square"/>
            </v:rect>
          </w:pict>
        </mc:Fallback>
      </mc:AlternateContent>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jc w:val="center"/>
      <w:rPr/>
    </w:pPr>
    <w:r>
      <w:rPr/>
      <w:fldChar w:fldCharType="begin"/>
    </w:r>
    <w:r>
      <w:rPr/>
      <w:instrText xml:space="preserve"> PAGE </w:instrText>
    </w:r>
    <w:r>
      <w:rPr/>
      <w:fldChar w:fldCharType="separate"/>
    </w:r>
    <w:r>
      <w:rPr/>
      <w:t>4</w:t>
    </w:r>
    <w:r>
      <w:rPr/>
      <w:fldChar w:fldCharType="end"/>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jc w:val="center"/>
      <w:rPr/>
    </w:pPr>
    <w:r>
      <w:rPr/>
    </w:r>
  </w:p>
</w:hdr>
</file>

<file path=word/header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jc w:val="center"/>
      <w:rPr/>
    </w:pPr>
    <w:r>
      <w:rPr/>
      <w:fldChar w:fldCharType="begin"/>
    </w:r>
    <w:r>
      <w:rPr/>
      <w:instrText xml:space="preserve"> PAGE </w:instrText>
    </w:r>
    <w:r>
      <w:rPr/>
      <w:fldChar w:fldCharType="separate"/>
    </w:r>
    <w:r>
      <w:rPr/>
      <w:t>22</w:t>
    </w:r>
    <w:r>
      <w:rPr/>
      <w:fldChar w:fldCharType="end"/>
    </w:r>
  </w:p>
</w:hdr>
</file>

<file path=word/header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jc w:val="center"/>
      <w:rPr/>
    </w:pPr>
    <w:r>
      <w:rPr/>
    </w:r>
  </w:p>
</w:hdr>
</file>

<file path=word/header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jc w:val="center"/>
      <w:rPr/>
    </w:pPr>
    <w:r>
      <w:rPr/>
      <w:fldChar w:fldCharType="begin"/>
    </w:r>
    <w:r>
      <w:rPr/>
      <w:instrText xml:space="preserve"> PAGE </w:instrText>
    </w:r>
    <w:r>
      <w:rPr/>
      <w:fldChar w:fldCharType="separate"/>
    </w:r>
    <w:r>
      <w:rPr/>
      <w:t>31</w:t>
    </w:r>
    <w:r>
      <w:rPr/>
      <w:fldChar w:fldCharType="end"/>
    </w:r>
  </w:p>
</w:hdr>
</file>

<file path=word/header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jc w:val="center"/>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360"/>
        </w:tabs>
        <w:ind w:left="360" w:hanging="360"/>
      </w:pPr>
      <w:rPr/>
    </w:lvl>
    <w:lvl w:ilvl="1">
      <w:start w:val="1"/>
      <w:numFmt w:val="decimal"/>
      <w:lvlText w:val="%1.%2."/>
      <w:lvlJc w:val="left"/>
      <w:pPr>
        <w:tabs>
          <w:tab w:val="num" w:pos="357"/>
        </w:tabs>
        <w:ind w:left="0" w:hanging="0"/>
      </w:pPr>
      <w:rPr/>
    </w:lvl>
    <w:lvl w:ilvl="2">
      <w:start w:val="1"/>
      <w:numFmt w:val="decimal"/>
      <w:lvlText w:val="%1.%2.%3."/>
      <w:lvlJc w:val="left"/>
      <w:pPr>
        <w:tabs>
          <w:tab w:val="num" w:pos="357"/>
        </w:tabs>
        <w:ind w:left="0" w:hanging="0"/>
      </w:pPr>
      <w:rPr/>
    </w:lvl>
    <w:lvl w:ilvl="3">
      <w:start w:val="1"/>
      <w:numFmt w:val="decimal"/>
      <w:lvlText w:val="%1.%2.%3.%4."/>
      <w:lvlJc w:val="left"/>
      <w:pPr>
        <w:tabs>
          <w:tab w:val="num" w:pos="357"/>
        </w:tabs>
        <w:ind w:left="0" w:hanging="0"/>
      </w:pPr>
      <w:rPr/>
    </w:lvl>
    <w:lvl w:ilvl="4">
      <w:start w:val="1"/>
      <w:numFmt w:val="decimal"/>
      <w:lvlText w:val="%1.%2.%3.%4.%5."/>
      <w:lvlJc w:val="left"/>
      <w:pPr>
        <w:tabs>
          <w:tab w:val="num" w:pos="2520"/>
        </w:tabs>
        <w:ind w:left="0" w:hanging="0"/>
      </w:pPr>
      <w:rPr/>
    </w:lvl>
    <w:lvl w:ilvl="5">
      <w:start w:val="1"/>
      <w:numFmt w:val="decimal"/>
      <w:lvlText w:val="%1.%2.%3.%4.%5.%6."/>
      <w:lvlJc w:val="left"/>
      <w:pPr>
        <w:tabs>
          <w:tab w:val="num" w:pos="357"/>
        </w:tabs>
        <w:ind w:left="0" w:hanging="0"/>
      </w:pPr>
      <w:rPr/>
    </w:lvl>
    <w:lvl w:ilvl="6">
      <w:start w:val="1"/>
      <w:numFmt w:val="decimal"/>
      <w:lvlText w:val="%1.%2.%3.%4.%5.%6.%7."/>
      <w:lvlJc w:val="left"/>
      <w:pPr>
        <w:tabs>
          <w:tab w:val="num" w:pos="357"/>
        </w:tabs>
        <w:ind w:left="0" w:hanging="0"/>
      </w:pPr>
      <w:rPr/>
    </w:lvl>
    <w:lvl w:ilvl="7">
      <w:start w:val="1"/>
      <w:numFmt w:val="decimal"/>
      <w:lvlText w:val="%1.%2.%3.%4.%5.%6.%7.%8."/>
      <w:lvlJc w:val="left"/>
      <w:pPr>
        <w:tabs>
          <w:tab w:val="num" w:pos="357"/>
        </w:tabs>
        <w:ind w:left="0" w:hanging="0"/>
      </w:pPr>
      <w:rPr/>
    </w:lvl>
    <w:lvl w:ilvl="8">
      <w:start w:val="1"/>
      <w:numFmt w:val="decimal"/>
      <w:lvlText w:val="%1.%2.%3.%4.%5.%6.%7.%8.%9."/>
      <w:lvlJc w:val="left"/>
      <w:pPr>
        <w:tabs>
          <w:tab w:val="num" w:pos="357"/>
        </w:tabs>
        <w:ind w:left="0" w:hanging="0"/>
      </w:pPr>
      <w:rPr/>
    </w:lvl>
  </w:abstractNum>
  <w:abstractNum w:abstractNumId="2">
    <w:lvl w:ilvl="0">
      <w:start w:val="4"/>
      <w:numFmt w:val="bullet"/>
      <w:lvlText w:val="-"/>
      <w:lvlJc w:val="left"/>
      <w:pPr>
        <w:tabs>
          <w:tab w:val="num" w:pos="0"/>
        </w:tabs>
        <w:ind w:left="-207" w:hanging="360"/>
      </w:pPr>
      <w:rPr>
        <w:rFonts w:ascii="Times New Roman" w:hAnsi="Times New Roman" w:cs="Times New Roman" w:hint="default"/>
      </w:rPr>
    </w:lvl>
    <w:lvl w:ilvl="1">
      <w:start w:val="1"/>
      <w:numFmt w:val="bullet"/>
      <w:lvlText w:val="o"/>
      <w:lvlJc w:val="left"/>
      <w:pPr>
        <w:tabs>
          <w:tab w:val="num" w:pos="513"/>
        </w:tabs>
        <w:ind w:left="513" w:hanging="360"/>
      </w:pPr>
      <w:rPr>
        <w:rFonts w:ascii="Courier New" w:hAnsi="Courier New" w:cs="Courier New" w:hint="default"/>
      </w:rPr>
    </w:lvl>
    <w:lvl w:ilvl="2">
      <w:start w:val="1"/>
      <w:numFmt w:val="bullet"/>
      <w:lvlText w:val=""/>
      <w:lvlJc w:val="left"/>
      <w:pPr>
        <w:tabs>
          <w:tab w:val="num" w:pos="1233"/>
        </w:tabs>
        <w:ind w:left="1233" w:hanging="360"/>
      </w:pPr>
      <w:rPr>
        <w:rFonts w:ascii="Wingdings" w:hAnsi="Wingdings" w:cs="Wingdings" w:hint="default"/>
      </w:rPr>
    </w:lvl>
    <w:lvl w:ilvl="3">
      <w:start w:val="1"/>
      <w:numFmt w:val="bullet"/>
      <w:lvlText w:val=""/>
      <w:lvlJc w:val="left"/>
      <w:pPr>
        <w:tabs>
          <w:tab w:val="num" w:pos="1953"/>
        </w:tabs>
        <w:ind w:left="1953" w:hanging="360"/>
      </w:pPr>
      <w:rPr>
        <w:rFonts w:ascii="Symbol" w:hAnsi="Symbol" w:cs="Symbol" w:hint="default"/>
      </w:rPr>
    </w:lvl>
    <w:lvl w:ilvl="4">
      <w:start w:val="1"/>
      <w:numFmt w:val="bullet"/>
      <w:lvlText w:val="o"/>
      <w:lvlJc w:val="left"/>
      <w:pPr>
        <w:tabs>
          <w:tab w:val="num" w:pos="2673"/>
        </w:tabs>
        <w:ind w:left="2673" w:hanging="360"/>
      </w:pPr>
      <w:rPr>
        <w:rFonts w:ascii="Courier New" w:hAnsi="Courier New" w:cs="Courier New" w:hint="default"/>
      </w:rPr>
    </w:lvl>
    <w:lvl w:ilvl="5">
      <w:start w:val="1"/>
      <w:numFmt w:val="bullet"/>
      <w:lvlText w:val=""/>
      <w:lvlJc w:val="left"/>
      <w:pPr>
        <w:tabs>
          <w:tab w:val="num" w:pos="3393"/>
        </w:tabs>
        <w:ind w:left="3393" w:hanging="360"/>
      </w:pPr>
      <w:rPr>
        <w:rFonts w:ascii="Wingdings" w:hAnsi="Wingdings" w:cs="Wingdings" w:hint="default"/>
      </w:rPr>
    </w:lvl>
    <w:lvl w:ilvl="6">
      <w:start w:val="1"/>
      <w:numFmt w:val="bullet"/>
      <w:lvlText w:val=""/>
      <w:lvlJc w:val="left"/>
      <w:pPr>
        <w:tabs>
          <w:tab w:val="num" w:pos="4113"/>
        </w:tabs>
        <w:ind w:left="4113" w:hanging="360"/>
      </w:pPr>
      <w:rPr>
        <w:rFonts w:ascii="Symbol" w:hAnsi="Symbol" w:cs="Symbol" w:hint="default"/>
      </w:rPr>
    </w:lvl>
    <w:lvl w:ilvl="7">
      <w:start w:val="1"/>
      <w:numFmt w:val="bullet"/>
      <w:lvlText w:val="o"/>
      <w:lvlJc w:val="left"/>
      <w:pPr>
        <w:tabs>
          <w:tab w:val="num" w:pos="4833"/>
        </w:tabs>
        <w:ind w:left="4833" w:hanging="360"/>
      </w:pPr>
      <w:rPr>
        <w:rFonts w:ascii="Courier New" w:hAnsi="Courier New" w:cs="Courier New" w:hint="default"/>
      </w:rPr>
    </w:lvl>
    <w:lvl w:ilvl="8">
      <w:start w:val="1"/>
      <w:numFmt w:val="bullet"/>
      <w:lvlText w:val=""/>
      <w:lvlJc w:val="left"/>
      <w:pPr>
        <w:tabs>
          <w:tab w:val="num" w:pos="5553"/>
        </w:tabs>
        <w:ind w:left="5553" w:hanging="360"/>
      </w:pPr>
      <w:rPr>
        <w:rFonts w:ascii="Wingdings" w:hAnsi="Wingdings" w:cs="Wingdings" w:hint="default"/>
      </w:rPr>
    </w:lvl>
  </w:abstractNum>
  <w:abstractNum w:abstractNumId="3">
    <w:lvl w:ilvl="0">
      <w:start w:val="1"/>
      <w:numFmt w:val="decimal"/>
      <w:lvlText w:val="%1."/>
      <w:lvlJc w:val="left"/>
      <w:pPr>
        <w:tabs>
          <w:tab w:val="num" w:pos="0"/>
        </w:tabs>
        <w:ind w:left="5038" w:hanging="360"/>
      </w:pPr>
      <w:rPr>
        <w:smallCaps w:val="false"/>
        <w:caps w:val="false"/>
        <w:dstrike w:val="false"/>
        <w:strike w:val="false"/>
        <w:vertAlign w:val="baseline"/>
        <w:position w:val="0"/>
        <w:sz w:val="28"/>
        <w:sz w:val="28"/>
        <w:spacing w:val="0"/>
        <w:i w:val="false"/>
        <w:u w:val="none"/>
        <w:b/>
        <w:kern w:val="0"/>
        <w:effect w:val="none"/>
        <w:szCs w:val="28"/>
        <w:iCs w:val="false"/>
        <w:bCs w:val="false"/>
        <w:em w:val="none"/>
        <w:vanish w:val="false"/>
        <w:rFonts w:ascii="Times New Roman" w:hAnsi="Times New Roman" w:cs="Times New Roman"/>
        <w:color w:val="00000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2843" w:hanging="432"/>
      </w:pPr>
      <w:rPr>
        <w:sz w:val="24"/>
        <w:i w:val="false"/>
        <w:b/>
        <w:szCs w:val="24"/>
        <w:iCs/>
        <w:bCs/>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4">
    <w:lvl w:ilvl="0">
      <w:start w:val="1"/>
      <w:numFmt w:val="decimal"/>
      <w:lvlText w:val="%1."/>
      <w:lvlJc w:val="left"/>
      <w:pPr>
        <w:tabs>
          <w:tab w:val="num" w:pos="0"/>
        </w:tabs>
        <w:ind w:left="1134" w:hanging="1134"/>
      </w:pPr>
      <w:rPr/>
    </w:lvl>
    <w:lvl w:ilvl="1">
      <w:start w:val="1"/>
      <w:numFmt w:val="decimal"/>
      <w:lvlText w:val="%1.%2."/>
      <w:lvlJc w:val="left"/>
      <w:pPr>
        <w:tabs>
          <w:tab w:val="num" w:pos="0"/>
        </w:tabs>
        <w:ind w:left="1134" w:hanging="1134"/>
      </w:pPr>
      <w:rPr/>
    </w:lvl>
    <w:lvl w:ilvl="2">
      <w:start w:val="1"/>
      <w:numFmt w:val="decimal"/>
      <w:lvlText w:val="%1.%2.%3."/>
      <w:lvlJc w:val="left"/>
      <w:pPr>
        <w:tabs>
          <w:tab w:val="num" w:pos="0"/>
        </w:tabs>
        <w:ind w:left="1134" w:hanging="1134"/>
      </w:pPr>
      <w:rPr/>
    </w:lvl>
    <w:lvl w:ilvl="3">
      <w:start w:val="1"/>
      <w:numFmt w:val="russianLower"/>
      <w:lvlText w:val="(%4)"/>
      <w:lvlJc w:val="left"/>
      <w:pPr>
        <w:tabs>
          <w:tab w:val="num" w:pos="0"/>
        </w:tabs>
        <w:ind w:left="1985" w:hanging="567"/>
      </w:pPr>
      <w:rPr/>
    </w:lvl>
    <w:lvl w:ilvl="4">
      <w:start w:val="1"/>
      <w:numFmt w:val="bullet"/>
      <w:lvlText w:val="–"/>
      <w:lvlJc w:val="left"/>
      <w:pPr>
        <w:tabs>
          <w:tab w:val="num" w:pos="0"/>
        </w:tabs>
        <w:ind w:left="2268" w:hanging="567"/>
      </w:pPr>
      <w:rPr>
        <w:rFonts w:ascii="Times New Roman" w:hAnsi="Times New Roman" w:cs="Times New Roman" w:hint="default"/>
      </w:rPr>
    </w:lvl>
    <w:lvl w:ilvl="5">
      <w:start w:val="1"/>
      <w:numFmt w:val="none"/>
      <w:suff w:val="nothing"/>
      <w:lvlText w:val=""/>
      <w:lvlJc w:val="left"/>
      <w:pPr>
        <w:tabs>
          <w:tab w:val="num" w:pos="0"/>
        </w:tabs>
        <w:ind w:left="1134" w:hanging="0"/>
      </w:pPr>
      <w:rPr/>
    </w:lvl>
    <w:lvl w:ilvl="6">
      <w:start w:val="1"/>
      <w:numFmt w:val="none"/>
      <w:suff w:val="nothing"/>
      <w:lvlText w:val=""/>
      <w:lvlJc w:val="left"/>
      <w:pPr>
        <w:tabs>
          <w:tab w:val="num" w:pos="0"/>
        </w:tabs>
        <w:ind w:left="1701" w:hanging="0"/>
      </w:pPr>
      <w:rPr/>
    </w:lvl>
    <w:lvl w:ilvl="7">
      <w:start w:val="1"/>
      <w:numFmt w:val="none"/>
      <w:suff w:val="nothing"/>
      <w:lvlText w:val=""/>
      <w:lvlJc w:val="left"/>
      <w:pPr>
        <w:tabs>
          <w:tab w:val="num" w:pos="0"/>
        </w:tabs>
        <w:ind w:left="0" w:hanging="0"/>
      </w:pPr>
      <w:rPr/>
    </w:lvl>
    <w:lvl w:ilvl="8">
      <w:start w:val="1"/>
      <w:numFmt w:val="none"/>
      <w:suff w:val="nothing"/>
      <w:lvlText w:val=""/>
      <w:lvlJc w:val="left"/>
      <w:pPr>
        <w:tabs>
          <w:tab w:val="num" w:pos="0"/>
        </w:tabs>
        <w:ind w:left="1134" w:hanging="0"/>
      </w:pPr>
      <w:rPr/>
    </w:lvl>
  </w:abstractNum>
  <w:abstractNum w:abstractNumId="5">
    <w:lvl w:ilvl="0">
      <w:start w:val="1"/>
      <w:numFmt w:val="decimal"/>
      <w:lvlText w:val="1.%1"/>
      <w:lvlJc w:val="left"/>
      <w:pPr>
        <w:tabs>
          <w:tab w:val="num" w:pos="0"/>
        </w:tabs>
        <w:ind w:left="1429" w:hanging="360"/>
      </w:pPr>
      <w:rPr/>
    </w:lvl>
    <w:lvl w:ilvl="1">
      <w:start w:val="1"/>
      <w:numFmt w:val="lowerLetter"/>
      <w:lvlText w:val="%2."/>
      <w:lvlJc w:val="left"/>
      <w:pPr>
        <w:tabs>
          <w:tab w:val="num" w:pos="0"/>
        </w:tabs>
        <w:ind w:left="2149" w:hanging="360"/>
      </w:pPr>
      <w:rPr/>
    </w:lvl>
    <w:lvl w:ilvl="2">
      <w:start w:val="1"/>
      <w:numFmt w:val="lowerRoman"/>
      <w:lvlText w:val="%3."/>
      <w:lvlJc w:val="right"/>
      <w:pPr>
        <w:tabs>
          <w:tab w:val="num" w:pos="0"/>
        </w:tabs>
        <w:ind w:left="2869" w:hanging="180"/>
      </w:pPr>
      <w:rPr/>
    </w:lvl>
    <w:lvl w:ilvl="3">
      <w:start w:val="1"/>
      <w:numFmt w:val="decimal"/>
      <w:lvlText w:val="%4."/>
      <w:lvlJc w:val="left"/>
      <w:pPr>
        <w:tabs>
          <w:tab w:val="num" w:pos="0"/>
        </w:tabs>
        <w:ind w:left="3589" w:hanging="360"/>
      </w:pPr>
      <w:rPr/>
    </w:lvl>
    <w:lvl w:ilvl="4">
      <w:start w:val="1"/>
      <w:numFmt w:val="lowerLetter"/>
      <w:lvlText w:val="%5."/>
      <w:lvlJc w:val="left"/>
      <w:pPr>
        <w:tabs>
          <w:tab w:val="num" w:pos="0"/>
        </w:tabs>
        <w:ind w:left="4309" w:hanging="360"/>
      </w:pPr>
      <w:rPr/>
    </w:lvl>
    <w:lvl w:ilvl="5">
      <w:start w:val="1"/>
      <w:numFmt w:val="lowerRoman"/>
      <w:lvlText w:val="%6."/>
      <w:lvlJc w:val="right"/>
      <w:pPr>
        <w:tabs>
          <w:tab w:val="num" w:pos="0"/>
        </w:tabs>
        <w:ind w:left="5029" w:hanging="180"/>
      </w:pPr>
      <w:rPr/>
    </w:lvl>
    <w:lvl w:ilvl="6">
      <w:start w:val="1"/>
      <w:numFmt w:val="decimal"/>
      <w:lvlText w:val="%7."/>
      <w:lvlJc w:val="left"/>
      <w:pPr>
        <w:tabs>
          <w:tab w:val="num" w:pos="0"/>
        </w:tabs>
        <w:ind w:left="5749" w:hanging="360"/>
      </w:pPr>
      <w:rPr/>
    </w:lvl>
    <w:lvl w:ilvl="7">
      <w:start w:val="1"/>
      <w:numFmt w:val="lowerLetter"/>
      <w:lvlText w:val="%8."/>
      <w:lvlJc w:val="left"/>
      <w:pPr>
        <w:tabs>
          <w:tab w:val="num" w:pos="0"/>
        </w:tabs>
        <w:ind w:left="6469" w:hanging="360"/>
      </w:pPr>
      <w:rPr/>
    </w:lvl>
    <w:lvl w:ilvl="8">
      <w:start w:val="1"/>
      <w:numFmt w:val="lowerRoman"/>
      <w:lvlText w:val="%9."/>
      <w:lvlJc w:val="right"/>
      <w:pPr>
        <w:tabs>
          <w:tab w:val="num" w:pos="0"/>
        </w:tabs>
        <w:ind w:left="7189" w:hanging="180"/>
      </w:pPr>
      <w:rPr/>
    </w:lvl>
  </w:abstractNum>
  <w:abstractNum w:abstractNumId="6">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7">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9">
    <w:lvl w:ilvl="0">
      <w:start w:val="1"/>
      <w:numFmt w:val="decimal"/>
      <w:lvlText w:val="%1."/>
      <w:lvlJc w:val="left"/>
      <w:pPr>
        <w:tabs>
          <w:tab w:val="num" w:pos="0"/>
        </w:tabs>
        <w:ind w:left="928" w:hanging="360"/>
      </w:pPr>
      <w:rPr>
        <w:sz w:val="24"/>
        <w:b/>
        <w:szCs w:val="24"/>
        <w:bCs w:val="false"/>
      </w:rPr>
    </w:lvl>
    <w:lvl w:ilvl="1">
      <w:start w:val="1"/>
      <w:numFmt w:val="decimal"/>
      <w:lvlText w:val="%1.%2."/>
      <w:lvlJc w:val="left"/>
      <w:pPr>
        <w:tabs>
          <w:tab w:val="num" w:pos="0"/>
        </w:tabs>
        <w:ind w:left="1000" w:hanging="432"/>
      </w:pPr>
      <w:rPr>
        <w:sz w:val="24"/>
        <w:b w:val="false"/>
        <w:szCs w:val="24"/>
        <w:bCs/>
      </w:rPr>
    </w:lvl>
    <w:lvl w:ilvl="2">
      <w:start w:val="1"/>
      <w:numFmt w:val="decimal"/>
      <w:lvlText w:val="%1.%2.%3."/>
      <w:lvlJc w:val="left"/>
      <w:pPr>
        <w:tabs>
          <w:tab w:val="num" w:pos="0"/>
        </w:tabs>
        <w:ind w:left="1071" w:hanging="504"/>
      </w:pPr>
      <w:rPr>
        <w:sz w:val="24"/>
        <w:b w:val="false"/>
        <w:szCs w:val="24"/>
        <w:rFonts w:ascii="Times New Roman" w:hAnsi="Times New Roman" w:cs="Times New Roman"/>
        <w:color w:val="000000" w:themeColor="text1"/>
      </w:rPr>
    </w:lvl>
    <w:lvl w:ilvl="3">
      <w:start w:val="1"/>
      <w:numFmt w:val="decimal"/>
      <w:lvlText w:val="%1.%2.%3.%4."/>
      <w:lvlJc w:val="left"/>
      <w:pPr>
        <w:tabs>
          <w:tab w:val="num" w:pos="0"/>
        </w:tabs>
        <w:ind w:left="1728" w:hanging="648"/>
      </w:pPr>
      <w:rPr>
        <w:b w:val="false"/>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0">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11">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12">
    <w:lvl w:ilvl="0">
      <w:start w:val="1"/>
      <w:numFmt w:val="decimal"/>
      <w:lvlText w:val="1.5.5.%1."/>
      <w:lvlJc w:val="left"/>
      <w:pPr>
        <w:tabs>
          <w:tab w:val="num" w:pos="0"/>
        </w:tabs>
        <w:ind w:left="135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3">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14">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15">
    <w:lvl w:ilvl="0">
      <w:start w:val="1"/>
      <w:numFmt w:val="decimal"/>
      <w:lvlText w:val="%1."/>
      <w:lvlJc w:val="left"/>
      <w:pPr>
        <w:tabs>
          <w:tab w:val="num" w:pos="0"/>
        </w:tabs>
        <w:ind w:left="1069" w:hanging="360"/>
      </w:pPr>
      <w:rPr>
        <w:color w:val="000000" w:themeColor="text1"/>
      </w:rPr>
    </w:lvl>
    <w:lvl w:ilvl="1">
      <w:start w:val="1"/>
      <w:numFmt w:val="lowerLetter"/>
      <w:lvlText w:val="%2."/>
      <w:lvlJc w:val="left"/>
      <w:pPr>
        <w:tabs>
          <w:tab w:val="num" w:pos="0"/>
        </w:tabs>
        <w:ind w:left="1789" w:hanging="360"/>
      </w:pPr>
      <w:rPr/>
    </w:lvl>
    <w:lvl w:ilvl="2">
      <w:start w:val="1"/>
      <w:numFmt w:val="lowerRoman"/>
      <w:lvlText w:val="%3."/>
      <w:lvlJc w:val="right"/>
      <w:pPr>
        <w:tabs>
          <w:tab w:val="num" w:pos="0"/>
        </w:tabs>
        <w:ind w:left="2509" w:hanging="180"/>
      </w:pPr>
      <w:rPr/>
    </w:lvl>
    <w:lvl w:ilvl="3">
      <w:start w:val="1"/>
      <w:numFmt w:val="decimal"/>
      <w:lvlText w:val="%4."/>
      <w:lvlJc w:val="left"/>
      <w:pPr>
        <w:tabs>
          <w:tab w:val="num" w:pos="0"/>
        </w:tabs>
        <w:ind w:left="3229" w:hanging="360"/>
      </w:pPr>
      <w:rPr/>
    </w:lvl>
    <w:lvl w:ilvl="4">
      <w:start w:val="1"/>
      <w:numFmt w:val="lowerLetter"/>
      <w:lvlText w:val="%5."/>
      <w:lvlJc w:val="left"/>
      <w:pPr>
        <w:tabs>
          <w:tab w:val="num" w:pos="0"/>
        </w:tabs>
        <w:ind w:left="3949" w:hanging="360"/>
      </w:pPr>
      <w:rPr/>
    </w:lvl>
    <w:lvl w:ilvl="5">
      <w:start w:val="1"/>
      <w:numFmt w:val="lowerRoman"/>
      <w:lvlText w:val="%6."/>
      <w:lvlJc w:val="right"/>
      <w:pPr>
        <w:tabs>
          <w:tab w:val="num" w:pos="0"/>
        </w:tabs>
        <w:ind w:left="4669" w:hanging="180"/>
      </w:pPr>
      <w:rPr/>
    </w:lvl>
    <w:lvl w:ilvl="6">
      <w:start w:val="1"/>
      <w:numFmt w:val="decimal"/>
      <w:lvlText w:val="%7."/>
      <w:lvlJc w:val="left"/>
      <w:pPr>
        <w:tabs>
          <w:tab w:val="num" w:pos="0"/>
        </w:tabs>
        <w:ind w:left="5389" w:hanging="360"/>
      </w:pPr>
      <w:rPr/>
    </w:lvl>
    <w:lvl w:ilvl="7">
      <w:start w:val="1"/>
      <w:numFmt w:val="lowerLetter"/>
      <w:lvlText w:val="%8."/>
      <w:lvlJc w:val="left"/>
      <w:pPr>
        <w:tabs>
          <w:tab w:val="num" w:pos="0"/>
        </w:tabs>
        <w:ind w:left="6109" w:hanging="360"/>
      </w:pPr>
      <w:rPr/>
    </w:lvl>
    <w:lvl w:ilvl="8">
      <w:start w:val="1"/>
      <w:numFmt w:val="lowerRoman"/>
      <w:lvlText w:val="%9."/>
      <w:lvlJc w:val="right"/>
      <w:pPr>
        <w:tabs>
          <w:tab w:val="num" w:pos="0"/>
        </w:tabs>
        <w:ind w:left="6829" w:hanging="180"/>
      </w:pPr>
      <w:rPr/>
    </w:lvl>
  </w:abstractNum>
  <w:abstractNum w:abstractNumId="16">
    <w:lvl w:ilvl="0">
      <w:start w:val="2"/>
      <w:numFmt w:val="decimal"/>
      <w:lvlText w:val="%1."/>
      <w:lvlJc w:val="left"/>
      <w:pPr>
        <w:tabs>
          <w:tab w:val="num" w:pos="0"/>
        </w:tabs>
        <w:ind w:left="540" w:hanging="540"/>
      </w:pPr>
      <w:rPr/>
    </w:lvl>
    <w:lvl w:ilvl="1">
      <w:start w:val="2"/>
      <w:numFmt w:val="decimal"/>
      <w:lvlText w:val="%1.%2."/>
      <w:lvlJc w:val="left"/>
      <w:pPr>
        <w:tabs>
          <w:tab w:val="num" w:pos="0"/>
        </w:tabs>
        <w:ind w:left="900" w:hanging="540"/>
      </w:pPr>
      <w:rPr/>
    </w:lvl>
    <w:lvl w:ilvl="2">
      <w:start w:val="1"/>
      <w:numFmt w:val="decimal"/>
      <w:lvlText w:val="%1.%2.%3."/>
      <w:lvlJc w:val="left"/>
      <w:pPr>
        <w:tabs>
          <w:tab w:val="num" w:pos="0"/>
        </w:tabs>
        <w:ind w:left="1440" w:hanging="720"/>
      </w:pPr>
      <w:rPr/>
    </w:lvl>
    <w:lvl w:ilvl="3">
      <w:start w:val="1"/>
      <w:numFmt w:val="decimal"/>
      <w:lvlText w:val="%1.%2.%3.%4."/>
      <w:lvlJc w:val="left"/>
      <w:pPr>
        <w:tabs>
          <w:tab w:val="num" w:pos="0"/>
        </w:tabs>
        <w:ind w:left="1800" w:hanging="720"/>
      </w:pPr>
      <w:rPr/>
    </w:lvl>
    <w:lvl w:ilvl="4">
      <w:start w:val="1"/>
      <w:numFmt w:val="decimal"/>
      <w:lvlText w:val="%1.%2.%3.%4.%5."/>
      <w:lvlJc w:val="left"/>
      <w:pPr>
        <w:tabs>
          <w:tab w:val="num" w:pos="0"/>
        </w:tabs>
        <w:ind w:left="2520" w:hanging="1080"/>
      </w:pPr>
      <w:rPr/>
    </w:lvl>
    <w:lvl w:ilvl="5">
      <w:start w:val="1"/>
      <w:numFmt w:val="decimal"/>
      <w:lvlText w:val="%1.%2.%3.%4.%5.%6."/>
      <w:lvlJc w:val="left"/>
      <w:pPr>
        <w:tabs>
          <w:tab w:val="num" w:pos="0"/>
        </w:tabs>
        <w:ind w:left="2880" w:hanging="1080"/>
      </w:pPr>
      <w:rPr/>
    </w:lvl>
    <w:lvl w:ilvl="6">
      <w:start w:val="1"/>
      <w:numFmt w:val="decimal"/>
      <w:lvlText w:val="%1.%2.%3.%4.%5.%6.%7."/>
      <w:lvlJc w:val="left"/>
      <w:pPr>
        <w:tabs>
          <w:tab w:val="num" w:pos="0"/>
        </w:tabs>
        <w:ind w:left="3600" w:hanging="1440"/>
      </w:pPr>
      <w:rPr/>
    </w:lvl>
    <w:lvl w:ilvl="7">
      <w:start w:val="1"/>
      <w:numFmt w:val="decimal"/>
      <w:lvlText w:val="%1.%2.%3.%4.%5.%6.%7.%8."/>
      <w:lvlJc w:val="left"/>
      <w:pPr>
        <w:tabs>
          <w:tab w:val="num" w:pos="0"/>
        </w:tabs>
        <w:ind w:left="3960" w:hanging="1440"/>
      </w:pPr>
      <w:rPr/>
    </w:lvl>
    <w:lvl w:ilvl="8">
      <w:start w:val="1"/>
      <w:numFmt w:val="decimal"/>
      <w:lvlText w:val="%1.%2.%3.%4.%5.%6.%7.%8.%9."/>
      <w:lvlJc w:val="left"/>
      <w:pPr>
        <w:tabs>
          <w:tab w:val="num" w:pos="0"/>
        </w:tabs>
        <w:ind w:left="4680" w:hanging="1800"/>
      </w:pPr>
      <w:rPr/>
    </w:lvl>
  </w:abstractNum>
  <w:abstractNum w:abstractNumId="17">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bering>
</file>

<file path=word/settings.xml><?xml version="1.0" encoding="utf-8"?>
<w:settings xmlns:w="http://schemas.openxmlformats.org/wordprocessingml/2006/main">
  <w:writeProtection w:cryptProviderType="rsaAES" w:cryptAlgorithmClass="hash" w:cryptAlgorithmType="typeAny" w:cryptAlgorithmSid="14" w:cryptSpinCount="100000" w:hash="cZ3cRL7rQJG3M3UyhRuk4QumZf5ex9UuUkYWqfjGj8ON/tbTnujGTb74gadRx/hAlvROkT0XS1FNy0jCBXDUMg==" w:salt="5FlMazenMH2FBjacTiariw=="/>
  <w:zoom w:percent="100"/>
  <w:defaultTabStop w:val="720"/>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themeFontLang w:val="ru-RU" w:eastAsia="zh-TW" w:bidi="ar-SA"/>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ru-RU" w:eastAsia="ru-RU" w:bidi="ar-SA"/>
      </w:rPr>
    </w:rPrDefault>
    <w:pPrDefault>
      <w:pPr>
        <w:suppressAutoHyphens w:val="true"/>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99"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uiPriority="99"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a2166f"/>
    <w:pPr>
      <w:widowControl/>
      <w:suppressAutoHyphens w:val="true"/>
      <w:bidi w:val="0"/>
      <w:spacing w:before="0" w:after="0"/>
      <w:jc w:val="left"/>
    </w:pPr>
    <w:rPr>
      <w:rFonts w:ascii="Times New Roman" w:hAnsi="Times New Roman" w:eastAsia="Times New Roman" w:cs="Times New Roman"/>
      <w:color w:val="auto"/>
      <w:kern w:val="0"/>
      <w:sz w:val="28"/>
      <w:szCs w:val="28"/>
      <w:lang w:val="ru-RU" w:eastAsia="ru-RU" w:bidi="ar-SA"/>
    </w:rPr>
  </w:style>
  <w:style w:type="paragraph" w:styleId="Heading1">
    <w:name w:val="Heading 1"/>
    <w:basedOn w:val="Heading3"/>
    <w:next w:val="Normal"/>
    <w:link w:val="1"/>
    <w:qFormat/>
    <w:rsid w:val="00353a27"/>
    <w:pPr>
      <w:outlineLvl w:val="0"/>
    </w:pPr>
    <w:rPr>
      <w:sz w:val="28"/>
      <w:szCs w:val="28"/>
    </w:rPr>
  </w:style>
  <w:style w:type="paragraph" w:styleId="Heading2">
    <w:name w:val="Heading 2"/>
    <w:basedOn w:val="Heading4"/>
    <w:next w:val="Normal"/>
    <w:link w:val="2"/>
    <w:qFormat/>
    <w:rsid w:val="00ea61a8"/>
    <w:pPr>
      <w:outlineLvl w:val="1"/>
    </w:pPr>
    <w:rPr/>
  </w:style>
  <w:style w:type="paragraph" w:styleId="Heading3">
    <w:name w:val="Heading 3"/>
    <w:basedOn w:val="Normal"/>
    <w:next w:val="Normal"/>
    <w:link w:val="3"/>
    <w:autoRedefine/>
    <w:qFormat/>
    <w:rsid w:val="00035e96"/>
    <w:pPr>
      <w:keepNext w:val="true"/>
      <w:tabs>
        <w:tab w:val="clear" w:pos="720"/>
        <w:tab w:val="left" w:pos="0" w:leader="none"/>
      </w:tabs>
      <w:spacing w:before="120" w:after="60"/>
      <w:ind w:left="1224" w:hanging="504"/>
      <w:outlineLvl w:val="2"/>
    </w:pPr>
    <w:rPr>
      <w:rFonts w:eastAsia="Calibri"/>
      <w:b/>
      <w:sz w:val="24"/>
      <w:szCs w:val="24"/>
      <w:lang w:val="x-none" w:eastAsia="x-none"/>
    </w:rPr>
  </w:style>
  <w:style w:type="paragraph" w:styleId="Heading4">
    <w:name w:val="Heading 4"/>
    <w:basedOn w:val="Heading3"/>
    <w:next w:val="Normal"/>
    <w:link w:val="4"/>
    <w:qFormat/>
    <w:rsid w:val="006629c9"/>
    <w:pPr>
      <w:ind w:left="432" w:hanging="0"/>
      <w:outlineLvl w:val="3"/>
    </w:pPr>
    <w:rPr>
      <w:bCs/>
    </w:rPr>
  </w:style>
  <w:style w:type="paragraph" w:styleId="Heading5">
    <w:name w:val="Heading 5"/>
    <w:basedOn w:val="Normal"/>
    <w:next w:val="Normal"/>
    <w:link w:val="5"/>
    <w:uiPriority w:val="9"/>
    <w:qFormat/>
    <w:rsid w:val="0076353a"/>
    <w:pPr>
      <w:spacing w:before="240" w:after="60"/>
      <w:outlineLvl w:val="4"/>
    </w:pPr>
    <w:rPr>
      <w:b/>
      <w:bCs/>
      <w:i/>
      <w:iCs/>
      <w:sz w:val="26"/>
      <w:szCs w:val="26"/>
      <w:lang w:val="x-none" w:eastAsia="x-none"/>
    </w:rPr>
  </w:style>
  <w:style w:type="paragraph" w:styleId="Heading6">
    <w:name w:val="Heading 6"/>
    <w:basedOn w:val="Normal"/>
    <w:next w:val="Normal"/>
    <w:link w:val="6"/>
    <w:uiPriority w:val="9"/>
    <w:qFormat/>
    <w:rsid w:val="00d22f6d"/>
    <w:pPr>
      <w:keepNext w:val="true"/>
      <w:keepLines/>
      <w:spacing w:before="200" w:after="0"/>
      <w:outlineLvl w:val="5"/>
    </w:pPr>
    <w:rPr>
      <w:rFonts w:ascii="Cambria" w:hAnsi="Cambria"/>
      <w:i/>
      <w:iCs/>
      <w:color w:val="243F60"/>
      <w:sz w:val="20"/>
      <w:szCs w:val="20"/>
      <w:lang w:val="x-none" w:eastAsia="x-none"/>
    </w:rPr>
  </w:style>
  <w:style w:type="paragraph" w:styleId="Heading7">
    <w:name w:val="Heading 7"/>
    <w:basedOn w:val="Normal"/>
    <w:next w:val="Normal"/>
    <w:link w:val="7"/>
    <w:uiPriority w:val="9"/>
    <w:qFormat/>
    <w:rsid w:val="00d22f6d"/>
    <w:pPr>
      <w:keepNext w:val="true"/>
      <w:keepLines/>
      <w:spacing w:before="200" w:after="0"/>
      <w:outlineLvl w:val="6"/>
    </w:pPr>
    <w:rPr>
      <w:rFonts w:ascii="Cambria" w:hAnsi="Cambria"/>
      <w:i/>
      <w:iCs/>
      <w:color w:val="404040"/>
      <w:sz w:val="20"/>
      <w:szCs w:val="20"/>
      <w:lang w:val="x-none" w:eastAsia="x-none"/>
    </w:rPr>
  </w:style>
  <w:style w:type="paragraph" w:styleId="Heading8">
    <w:name w:val="Heading 8"/>
    <w:basedOn w:val="Normal"/>
    <w:next w:val="Normal"/>
    <w:link w:val="8"/>
    <w:uiPriority w:val="9"/>
    <w:qFormat/>
    <w:rsid w:val="00d22f6d"/>
    <w:pPr>
      <w:keepNext w:val="true"/>
      <w:keepLines/>
      <w:spacing w:before="200" w:after="0"/>
      <w:outlineLvl w:val="7"/>
    </w:pPr>
    <w:rPr>
      <w:rFonts w:ascii="Cambria" w:hAnsi="Cambria"/>
      <w:color w:val="4F81BD"/>
      <w:sz w:val="20"/>
      <w:szCs w:val="20"/>
      <w:lang w:val="x-none" w:eastAsia="x-none"/>
    </w:rPr>
  </w:style>
  <w:style w:type="paragraph" w:styleId="Heading9">
    <w:name w:val="Heading 9"/>
    <w:basedOn w:val="Normal"/>
    <w:next w:val="Normal"/>
    <w:link w:val="9"/>
    <w:uiPriority w:val="9"/>
    <w:qFormat/>
    <w:rsid w:val="0076353a"/>
    <w:pPr>
      <w:spacing w:before="240" w:after="60"/>
      <w:outlineLvl w:val="8"/>
    </w:pPr>
    <w:rPr>
      <w:rFonts w:ascii="Arial" w:hAnsi="Arial"/>
      <w:sz w:val="22"/>
      <w:szCs w:val="22"/>
      <w:lang w:val="x-none" w:eastAsia="x-none"/>
    </w:rPr>
  </w:style>
  <w:style w:type="character" w:styleId="DefaultParagraphFont" w:default="1">
    <w:name w:val="Default Paragraph Font"/>
    <w:uiPriority w:val="1"/>
    <w:semiHidden/>
    <w:unhideWhenUsed/>
    <w:qFormat/>
    <w:rPr/>
  </w:style>
  <w:style w:type="character" w:styleId="Style" w:customStyle="1">
    <w:name w:val="Символ сноски"/>
    <w:qFormat/>
    <w:rsid w:val="009909f3"/>
    <w:rPr>
      <w:vertAlign w:val="superscript"/>
    </w:rPr>
  </w:style>
  <w:style w:type="character" w:styleId="FootnoteReference">
    <w:name w:val="Footnote Reference"/>
    <w:rPr>
      <w:vertAlign w:val="superscript"/>
    </w:rPr>
  </w:style>
  <w:style w:type="character" w:styleId="Pagenumber">
    <w:name w:val="page number"/>
    <w:basedOn w:val="DefaultParagraphFont"/>
    <w:qFormat/>
    <w:rsid w:val="006c2f3f"/>
    <w:rPr/>
  </w:style>
  <w:style w:type="character" w:styleId="Hyperlink">
    <w:name w:val="Hyperlink"/>
    <w:uiPriority w:val="99"/>
    <w:rsid w:val="006c2f3f"/>
    <w:rPr>
      <w:color w:val="0000FF"/>
      <w:u w:val="single"/>
    </w:rPr>
  </w:style>
  <w:style w:type="character" w:styleId="Annotationreference">
    <w:name w:val="annotation reference"/>
    <w:uiPriority w:val="99"/>
    <w:semiHidden/>
    <w:qFormat/>
    <w:rsid w:val="00b714b0"/>
    <w:rPr>
      <w:sz w:val="16"/>
      <w:szCs w:val="16"/>
    </w:rPr>
  </w:style>
  <w:style w:type="character" w:styleId="Strong">
    <w:name w:val="Strong"/>
    <w:uiPriority w:val="22"/>
    <w:qFormat/>
    <w:rsid w:val="00165965"/>
    <w:rPr>
      <w:b/>
      <w:bCs/>
    </w:rPr>
  </w:style>
  <w:style w:type="character" w:styleId="6" w:customStyle="1">
    <w:name w:val="Заголовок 6 Знак"/>
    <w:uiPriority w:val="9"/>
    <w:qFormat/>
    <w:rsid w:val="00d22f6d"/>
    <w:rPr>
      <w:rFonts w:ascii="Cambria" w:hAnsi="Cambria"/>
      <w:i/>
      <w:iCs/>
      <w:color w:val="243F60"/>
      <w:lang w:val="x-none" w:eastAsia="x-none"/>
    </w:rPr>
  </w:style>
  <w:style w:type="character" w:styleId="7" w:customStyle="1">
    <w:name w:val="Заголовок 7 Знак"/>
    <w:uiPriority w:val="9"/>
    <w:qFormat/>
    <w:rsid w:val="00d22f6d"/>
    <w:rPr>
      <w:rFonts w:ascii="Cambria" w:hAnsi="Cambria"/>
      <w:i/>
      <w:iCs/>
      <w:color w:val="404040"/>
      <w:lang w:val="x-none" w:eastAsia="x-none"/>
    </w:rPr>
  </w:style>
  <w:style w:type="character" w:styleId="8" w:customStyle="1">
    <w:name w:val="Заголовок 8 Знак"/>
    <w:uiPriority w:val="9"/>
    <w:qFormat/>
    <w:rsid w:val="00d22f6d"/>
    <w:rPr>
      <w:rFonts w:ascii="Cambria" w:hAnsi="Cambria"/>
      <w:color w:val="4F81BD"/>
      <w:lang w:val="x-none" w:eastAsia="x-none"/>
    </w:rPr>
  </w:style>
  <w:style w:type="character" w:styleId="1" w:customStyle="1">
    <w:name w:val="Заголовок 1 Знак"/>
    <w:qFormat/>
    <w:rsid w:val="00353a27"/>
    <w:rPr>
      <w:rFonts w:eastAsia="Calibri"/>
      <w:b/>
      <w:sz w:val="28"/>
      <w:szCs w:val="28"/>
      <w:lang w:val="x-none" w:eastAsia="x-none"/>
    </w:rPr>
  </w:style>
  <w:style w:type="character" w:styleId="2" w:customStyle="1">
    <w:name w:val="Заголовок 2 Знак"/>
    <w:qFormat/>
    <w:rsid w:val="00ea61a8"/>
    <w:rPr>
      <w:rFonts w:eastAsia="Calibri"/>
      <w:b/>
      <w:bCs/>
      <w:sz w:val="24"/>
      <w:szCs w:val="24"/>
      <w:lang w:val="x-none" w:eastAsia="x-none"/>
    </w:rPr>
  </w:style>
  <w:style w:type="character" w:styleId="3" w:customStyle="1">
    <w:name w:val="Заголовок 3 Знак"/>
    <w:qFormat/>
    <w:rsid w:val="00035e96"/>
    <w:rPr>
      <w:rFonts w:eastAsia="Calibri"/>
      <w:b/>
      <w:sz w:val="24"/>
      <w:szCs w:val="24"/>
      <w:lang w:val="x-none" w:eastAsia="x-none"/>
    </w:rPr>
  </w:style>
  <w:style w:type="character" w:styleId="4" w:customStyle="1">
    <w:name w:val="Заголовок 4 Знак"/>
    <w:qFormat/>
    <w:rsid w:val="006629c9"/>
    <w:rPr>
      <w:rFonts w:eastAsia="Calibri"/>
      <w:b/>
      <w:bCs/>
      <w:sz w:val="24"/>
      <w:szCs w:val="24"/>
      <w:lang w:val="x-none" w:eastAsia="x-none"/>
    </w:rPr>
  </w:style>
  <w:style w:type="character" w:styleId="5" w:customStyle="1">
    <w:name w:val="Заголовок 5 Знак"/>
    <w:uiPriority w:val="9"/>
    <w:qFormat/>
    <w:rsid w:val="00d22f6d"/>
    <w:rPr>
      <w:b/>
      <w:bCs/>
      <w:i/>
      <w:iCs/>
      <w:sz w:val="26"/>
      <w:szCs w:val="26"/>
    </w:rPr>
  </w:style>
  <w:style w:type="character" w:styleId="9" w:customStyle="1">
    <w:name w:val="Заголовок 9 Знак"/>
    <w:uiPriority w:val="9"/>
    <w:qFormat/>
    <w:rsid w:val="00d22f6d"/>
    <w:rPr>
      <w:rFonts w:ascii="Arial" w:hAnsi="Arial" w:cs="Arial"/>
      <w:sz w:val="22"/>
      <w:szCs w:val="22"/>
    </w:rPr>
  </w:style>
  <w:style w:type="character" w:styleId="Style1" w:customStyle="1">
    <w:name w:val="Название Знак"/>
    <w:link w:val="15"/>
    <w:uiPriority w:val="10"/>
    <w:qFormat/>
    <w:rsid w:val="00d22f6d"/>
    <w:rPr>
      <w:sz w:val="28"/>
    </w:rPr>
  </w:style>
  <w:style w:type="character" w:styleId="Style2" w:customStyle="1">
    <w:name w:val="Подзаголовок Знак"/>
    <w:uiPriority w:val="11"/>
    <w:qFormat/>
    <w:rsid w:val="00d22f6d"/>
    <w:rPr>
      <w:rFonts w:ascii="Cambria" w:hAnsi="Cambria"/>
      <w:i/>
      <w:iCs/>
      <w:color w:val="4F81BD"/>
      <w:spacing w:val="15"/>
      <w:sz w:val="24"/>
      <w:szCs w:val="24"/>
      <w:lang w:val="x-none" w:eastAsia="x-none"/>
    </w:rPr>
  </w:style>
  <w:style w:type="character" w:styleId="Emphasis">
    <w:name w:val="Emphasis"/>
    <w:uiPriority w:val="20"/>
    <w:qFormat/>
    <w:rsid w:val="00d22f6d"/>
    <w:rPr>
      <w:i/>
      <w:iCs/>
    </w:rPr>
  </w:style>
  <w:style w:type="character" w:styleId="21" w:customStyle="1">
    <w:name w:val="Цитата 2 Знак"/>
    <w:link w:val="Quote"/>
    <w:uiPriority w:val="29"/>
    <w:qFormat/>
    <w:rsid w:val="00d22f6d"/>
    <w:rPr>
      <w:rFonts w:ascii="Calibri" w:hAnsi="Calibri" w:eastAsia="Calibri"/>
      <w:i/>
      <w:iCs/>
      <w:color w:val="000000"/>
      <w:lang w:val="x-none" w:eastAsia="x-none"/>
    </w:rPr>
  </w:style>
  <w:style w:type="character" w:styleId="Style3" w:customStyle="1">
    <w:name w:val="Выделенная цитата Знак"/>
    <w:link w:val="IntenseQuote"/>
    <w:uiPriority w:val="30"/>
    <w:qFormat/>
    <w:rsid w:val="00d22f6d"/>
    <w:rPr>
      <w:rFonts w:ascii="Calibri" w:hAnsi="Calibri" w:eastAsia="Calibri"/>
      <w:b/>
      <w:bCs/>
      <w:i/>
      <w:iCs/>
      <w:color w:val="4F81BD"/>
      <w:lang w:val="x-none" w:eastAsia="x-none"/>
    </w:rPr>
  </w:style>
  <w:style w:type="character" w:styleId="SubtleEmphasis">
    <w:name w:val="Subtle Emphasis"/>
    <w:uiPriority w:val="19"/>
    <w:qFormat/>
    <w:rsid w:val="00d22f6d"/>
    <w:rPr>
      <w:i/>
      <w:iCs/>
      <w:color w:val="808080"/>
    </w:rPr>
  </w:style>
  <w:style w:type="character" w:styleId="IntenseEmphasis">
    <w:name w:val="Intense Emphasis"/>
    <w:uiPriority w:val="21"/>
    <w:qFormat/>
    <w:rsid w:val="00d22f6d"/>
    <w:rPr>
      <w:b/>
      <w:bCs/>
      <w:i/>
      <w:iCs/>
      <w:color w:val="4F81BD"/>
    </w:rPr>
  </w:style>
  <w:style w:type="character" w:styleId="SubtleReference">
    <w:name w:val="Subtle Reference"/>
    <w:uiPriority w:val="31"/>
    <w:qFormat/>
    <w:rsid w:val="00d22f6d"/>
    <w:rPr>
      <w:smallCaps/>
      <w:color w:val="C0504D"/>
      <w:u w:val="single"/>
    </w:rPr>
  </w:style>
  <w:style w:type="character" w:styleId="IntenseReference">
    <w:name w:val="Intense Reference"/>
    <w:uiPriority w:val="32"/>
    <w:qFormat/>
    <w:rsid w:val="00d22f6d"/>
    <w:rPr>
      <w:b/>
      <w:bCs/>
      <w:smallCaps/>
      <w:color w:val="C0504D"/>
      <w:spacing w:val="5"/>
      <w:u w:val="single"/>
    </w:rPr>
  </w:style>
  <w:style w:type="character" w:styleId="BookTitle">
    <w:name w:val="Book Title"/>
    <w:uiPriority w:val="33"/>
    <w:qFormat/>
    <w:rsid w:val="00d22f6d"/>
    <w:rPr>
      <w:b/>
      <w:bCs/>
      <w:smallCaps/>
      <w:spacing w:val="5"/>
    </w:rPr>
  </w:style>
  <w:style w:type="character" w:styleId="Style4" w:customStyle="1">
    <w:name w:val="Электронная подпись Знак"/>
    <w:link w:val="E-mailSignature"/>
    <w:uiPriority w:val="99"/>
    <w:qFormat/>
    <w:rsid w:val="00d22f6d"/>
    <w:rPr>
      <w:rFonts w:eastAsia="Calibri"/>
      <w:sz w:val="24"/>
      <w:szCs w:val="24"/>
    </w:rPr>
  </w:style>
  <w:style w:type="character" w:styleId="11" w:customStyle="1">
    <w:name w:val="Подпункт Знак1"/>
    <w:link w:val="Style22"/>
    <w:qFormat/>
    <w:locked/>
    <w:rsid w:val="00d22f6d"/>
    <w:rPr>
      <w:sz w:val="28"/>
    </w:rPr>
  </w:style>
  <w:style w:type="character" w:styleId="Style5" w:customStyle="1">
    <w:name w:val="Текст сноски Знак"/>
    <w:uiPriority w:val="99"/>
    <w:qFormat/>
    <w:rsid w:val="00d22f6d"/>
    <w:rPr/>
  </w:style>
  <w:style w:type="character" w:styleId="Style6" w:customStyle="1">
    <w:name w:val="Основной текст Знак"/>
    <w:qFormat/>
    <w:rsid w:val="004459a5"/>
    <w:rPr>
      <w:sz w:val="28"/>
      <w:szCs w:val="28"/>
    </w:rPr>
  </w:style>
  <w:style w:type="character" w:styleId="Blk" w:customStyle="1">
    <w:name w:val="blk"/>
    <w:qFormat/>
    <w:rsid w:val="00431ace"/>
    <w:rPr/>
  </w:style>
  <w:style w:type="character" w:styleId="Style7" w:customStyle="1">
    <w:name w:val="Абзац списка Знак"/>
    <w:link w:val="ListParagraph"/>
    <w:uiPriority w:val="34"/>
    <w:qFormat/>
    <w:locked/>
    <w:rsid w:val="00310eb4"/>
    <w:rPr>
      <w:rFonts w:eastAsia="Calibri"/>
      <w:sz w:val="24"/>
      <w:szCs w:val="24"/>
    </w:rPr>
  </w:style>
  <w:style w:type="character" w:styleId="Style8" w:customStyle="1">
    <w:name w:val="комментарий"/>
    <w:qFormat/>
    <w:rsid w:val="0025139e"/>
    <w:rPr>
      <w:b/>
      <w:i/>
      <w:shd w:fill="FFFF99" w:val="clear"/>
    </w:rPr>
  </w:style>
  <w:style w:type="character" w:styleId="Style9" w:customStyle="1">
    <w:name w:val="Подподпункт Знак"/>
    <w:link w:val="Style30"/>
    <w:qFormat/>
    <w:locked/>
    <w:rsid w:val="0025139e"/>
    <w:rPr>
      <w:sz w:val="26"/>
      <w:szCs w:val="26"/>
    </w:rPr>
  </w:style>
  <w:style w:type="character" w:styleId="31" w:customStyle="1">
    <w:name w:val="УРОВЕНЬ_Абзац_тип3 Знак"/>
    <w:link w:val="36"/>
    <w:qFormat/>
    <w:rsid w:val="00b56f46"/>
    <w:rPr>
      <w:rFonts w:eastAsia="Calibri"/>
      <w:sz w:val="26"/>
      <w:szCs w:val="28"/>
      <w:lang w:eastAsia="en-US"/>
    </w:rPr>
  </w:style>
  <w:style w:type="character" w:styleId="Style10" w:customStyle="1">
    <w:name w:val="Верхний колонтитул Знак"/>
    <w:uiPriority w:val="99"/>
    <w:qFormat/>
    <w:rsid w:val="002f31af"/>
    <w:rPr>
      <w:sz w:val="24"/>
      <w:szCs w:val="24"/>
    </w:rPr>
  </w:style>
  <w:style w:type="character" w:styleId="Style11" w:customStyle="1">
    <w:name w:val="Текст примечания Знак"/>
    <w:link w:val="Annotationtext"/>
    <w:semiHidden/>
    <w:qFormat/>
    <w:rsid w:val="00dc0f7d"/>
    <w:rPr/>
  </w:style>
  <w:style w:type="character" w:styleId="Style12" w:customStyle="1">
    <w:name w:val="Текст концевой сноски Знак"/>
    <w:basedOn w:val="DefaultParagraphFont"/>
    <w:qFormat/>
    <w:rsid w:val="003879d4"/>
    <w:rPr/>
  </w:style>
  <w:style w:type="character" w:styleId="Style13" w:customStyle="1">
    <w:name w:val="Символ концевой сноски"/>
    <w:qFormat/>
    <w:rsid w:val="003879d4"/>
    <w:rPr>
      <w:vertAlign w:val="superscript"/>
    </w:rPr>
  </w:style>
  <w:style w:type="character" w:styleId="EndnoteReference">
    <w:name w:val="Endnote Reference"/>
    <w:rPr>
      <w:vertAlign w:val="superscript"/>
    </w:rPr>
  </w:style>
  <w:style w:type="character" w:styleId="22" w:customStyle="1">
    <w:name w:val="Пункт2 Знак"/>
    <w:link w:val="24"/>
    <w:qFormat/>
    <w:rsid w:val="00de52bc"/>
    <w:rPr>
      <w:b/>
      <w:sz w:val="28"/>
    </w:rPr>
  </w:style>
  <w:style w:type="character" w:styleId="12" w:customStyle="1">
    <w:name w:val="УРОВЕНЬ_1. Знак"/>
    <w:link w:val="19"/>
    <w:qFormat/>
    <w:rsid w:val="004a17ae"/>
    <w:rPr>
      <w:rFonts w:eastAsia="Calibri"/>
      <w:caps/>
      <w:sz w:val="28"/>
      <w:szCs w:val="28"/>
      <w:lang w:eastAsia="en-US"/>
    </w:rPr>
  </w:style>
  <w:style w:type="character" w:styleId="13" w:customStyle="1">
    <w:name w:val="Неразрешенное упоминание1"/>
    <w:basedOn w:val="DefaultParagraphFont"/>
    <w:uiPriority w:val="99"/>
    <w:semiHidden/>
    <w:unhideWhenUsed/>
    <w:qFormat/>
    <w:rsid w:val="00c36f30"/>
    <w:rPr>
      <w:color w:val="605E5C"/>
      <w:shd w:fill="E1DFDD" w:val="clear"/>
    </w:rPr>
  </w:style>
  <w:style w:type="character" w:styleId="32" w:customStyle="1">
    <w:name w:val="Основной текст с отступом 3 Знак"/>
    <w:link w:val="BodyTextIndent3"/>
    <w:qFormat/>
    <w:rsid w:val="00c36f30"/>
    <w:rPr>
      <w:sz w:val="16"/>
      <w:szCs w:val="16"/>
    </w:rPr>
  </w:style>
  <w:style w:type="character" w:styleId="Style14" w:customStyle="1">
    <w:name w:val="основной для подзаголовков Знак"/>
    <w:link w:val="Style34"/>
    <w:qFormat/>
    <w:locked/>
    <w:rsid w:val="00e32efd"/>
    <w:rPr>
      <w:b/>
      <w:sz w:val="28"/>
      <w:szCs w:val="28"/>
    </w:rPr>
  </w:style>
  <w:style w:type="character" w:styleId="Apple-converted-space" w:customStyle="1">
    <w:name w:val="apple-converted-space"/>
    <w:basedOn w:val="DefaultParagraphFont"/>
    <w:qFormat/>
    <w:rsid w:val="00b85984"/>
    <w:rPr/>
  </w:style>
  <w:style w:type="character" w:styleId="Tooltip" w:customStyle="1">
    <w:name w:val="tooltip"/>
    <w:basedOn w:val="DefaultParagraphFont"/>
    <w:qFormat/>
    <w:rsid w:val="00287a28"/>
    <w:rPr/>
  </w:style>
  <w:style w:type="character" w:styleId="Style15" w:customStyle="1">
    <w:name w:val="Ссылка указателя"/>
    <w:qFormat/>
    <w:rPr/>
  </w:style>
  <w:style w:type="paragraph" w:styleId="Style16">
    <w:name w:val="Заголовок"/>
    <w:basedOn w:val="Normal"/>
    <w:next w:val="BodyText"/>
    <w:qFormat/>
    <w:pPr>
      <w:keepNext w:val="true"/>
      <w:spacing w:before="240" w:after="120"/>
    </w:pPr>
    <w:rPr>
      <w:rFonts w:ascii="Liberation Sans" w:hAnsi="Liberation Sans" w:eastAsia="Arial Unicode MS" w:cs="Arial Unicode MS"/>
      <w:sz w:val="28"/>
      <w:szCs w:val="28"/>
    </w:rPr>
  </w:style>
  <w:style w:type="paragraph" w:styleId="BodyText">
    <w:name w:val="Body Text"/>
    <w:basedOn w:val="Normal"/>
    <w:link w:val="Style6"/>
    <w:rsid w:val="0076353a"/>
    <w:pPr>
      <w:spacing w:before="0" w:after="120"/>
    </w:pPr>
    <w:rPr/>
  </w:style>
  <w:style w:type="paragraph" w:styleId="List">
    <w:name w:val="List"/>
    <w:basedOn w:val="BodyText"/>
    <w:pPr/>
    <w:rPr/>
  </w:style>
  <w:style w:type="paragraph" w:styleId="Caption">
    <w:name w:val="Caption"/>
    <w:basedOn w:val="Normal"/>
    <w:qFormat/>
    <w:pPr>
      <w:suppressLineNumbers/>
      <w:spacing w:before="120" w:after="120"/>
    </w:pPr>
    <w:rPr>
      <w:i/>
      <w:iCs/>
      <w:sz w:val="24"/>
      <w:szCs w:val="24"/>
    </w:rPr>
  </w:style>
  <w:style w:type="paragraph" w:styleId="Style17">
    <w:name w:val="Указатель"/>
    <w:basedOn w:val="Normal"/>
    <w:qFormat/>
    <w:pPr>
      <w:suppressLineNumbers/>
    </w:pPr>
    <w:rPr/>
  </w:style>
  <w:style w:type="paragraph" w:styleId="Title">
    <w:name w:val="Title"/>
    <w:basedOn w:val="Normal"/>
    <w:next w:val="BodyText"/>
    <w:qFormat/>
    <w:pPr>
      <w:keepNext w:val="true"/>
      <w:spacing w:before="240" w:after="120"/>
    </w:pPr>
    <w:rPr>
      <w:rFonts w:ascii="Liberation Sans" w:hAnsi="Liberation Sans" w:eastAsia="Arial Unicode MS" w:cs="Arial Unicode MS"/>
    </w:rPr>
  </w:style>
  <w:style w:type="paragraph" w:styleId="Caption1">
    <w:name w:val="caption1"/>
    <w:basedOn w:val="Normal"/>
    <w:qFormat/>
    <w:pPr>
      <w:suppressLineNumbers/>
      <w:spacing w:before="120" w:after="120"/>
    </w:pPr>
    <w:rPr>
      <w:i/>
      <w:iCs/>
      <w:sz w:val="24"/>
      <w:szCs w:val="24"/>
    </w:rPr>
  </w:style>
  <w:style w:type="paragraph" w:styleId="Indexheading1">
    <w:name w:val="index heading1"/>
    <w:basedOn w:val="Title"/>
    <w:qFormat/>
    <w:pPr/>
    <w:rPr/>
  </w:style>
  <w:style w:type="paragraph" w:styleId="Caption11" w:customStyle="1">
    <w:name w:val="caption11"/>
    <w:basedOn w:val="Normal"/>
    <w:qFormat/>
    <w:pPr>
      <w:suppressLineNumbers/>
      <w:spacing w:before="120" w:after="120"/>
    </w:pPr>
    <w:rPr>
      <w:i/>
      <w:iCs/>
      <w:sz w:val="24"/>
      <w:szCs w:val="24"/>
    </w:rPr>
  </w:style>
  <w:style w:type="paragraph" w:styleId="Indexheading11" w:customStyle="1">
    <w:name w:val="index heading11"/>
    <w:basedOn w:val="Title"/>
    <w:qFormat/>
    <w:pPr/>
    <w:rPr/>
  </w:style>
  <w:style w:type="paragraph" w:styleId="Caption111" w:customStyle="1">
    <w:name w:val="caption111"/>
    <w:basedOn w:val="Normal"/>
    <w:qFormat/>
    <w:pPr>
      <w:suppressLineNumbers/>
      <w:spacing w:before="120" w:after="120"/>
    </w:pPr>
    <w:rPr>
      <w:i/>
      <w:iCs/>
      <w:sz w:val="24"/>
      <w:szCs w:val="24"/>
    </w:rPr>
  </w:style>
  <w:style w:type="paragraph" w:styleId="Indexheading111" w:customStyle="1">
    <w:name w:val="index heading111"/>
    <w:basedOn w:val="Title"/>
    <w:qFormat/>
    <w:pPr/>
    <w:rPr/>
  </w:style>
  <w:style w:type="paragraph" w:styleId="Caption1111" w:customStyle="1">
    <w:name w:val="caption1111"/>
    <w:basedOn w:val="Normal"/>
    <w:qFormat/>
    <w:pPr>
      <w:suppressLineNumbers/>
      <w:spacing w:before="120" w:after="120"/>
    </w:pPr>
    <w:rPr>
      <w:i/>
      <w:iCs/>
      <w:sz w:val="24"/>
      <w:szCs w:val="24"/>
    </w:rPr>
  </w:style>
  <w:style w:type="paragraph" w:styleId="Indexheading1111" w:customStyle="1">
    <w:name w:val="index heading1111"/>
    <w:basedOn w:val="Title"/>
    <w:qFormat/>
    <w:pPr/>
    <w:rPr/>
  </w:style>
  <w:style w:type="paragraph" w:styleId="Caption11111" w:customStyle="1">
    <w:name w:val="caption11111"/>
    <w:basedOn w:val="Normal"/>
    <w:qFormat/>
    <w:pPr>
      <w:suppressLineNumbers/>
      <w:spacing w:before="120" w:after="120"/>
    </w:pPr>
    <w:rPr>
      <w:i/>
      <w:iCs/>
      <w:sz w:val="24"/>
      <w:szCs w:val="24"/>
    </w:rPr>
  </w:style>
  <w:style w:type="paragraph" w:styleId="Indexheading11111" w:customStyle="1">
    <w:name w:val="index heading11111"/>
    <w:basedOn w:val="Title"/>
    <w:qFormat/>
    <w:pPr/>
    <w:rPr/>
  </w:style>
  <w:style w:type="paragraph" w:styleId="Caption111111" w:customStyle="1">
    <w:name w:val="caption111111"/>
    <w:basedOn w:val="Normal"/>
    <w:qFormat/>
    <w:pPr>
      <w:suppressLineNumbers/>
      <w:spacing w:before="120" w:after="120"/>
    </w:pPr>
    <w:rPr>
      <w:i/>
      <w:iCs/>
      <w:sz w:val="24"/>
      <w:szCs w:val="24"/>
    </w:rPr>
  </w:style>
  <w:style w:type="paragraph" w:styleId="Indexheading111111" w:customStyle="1">
    <w:name w:val="index heading111111"/>
    <w:basedOn w:val="Title"/>
    <w:qFormat/>
    <w:pPr/>
    <w:rPr/>
  </w:style>
  <w:style w:type="paragraph" w:styleId="Caption1111111" w:customStyle="1">
    <w:name w:val="caption1111111"/>
    <w:basedOn w:val="Normal"/>
    <w:qFormat/>
    <w:pPr>
      <w:suppressLineNumbers/>
      <w:spacing w:before="120" w:after="120"/>
    </w:pPr>
    <w:rPr>
      <w:i/>
      <w:iCs/>
      <w:sz w:val="24"/>
      <w:szCs w:val="24"/>
    </w:rPr>
  </w:style>
  <w:style w:type="paragraph" w:styleId="Indexheading1111111" w:customStyle="1">
    <w:name w:val="index heading1111111"/>
    <w:basedOn w:val="Title"/>
    <w:qFormat/>
    <w:pPr/>
    <w:rPr/>
  </w:style>
  <w:style w:type="paragraph" w:styleId="Style18" w:customStyle="1">
    <w:name w:val="Название раздела инструкции"/>
    <w:basedOn w:val="Normal"/>
    <w:autoRedefine/>
    <w:qFormat/>
    <w:rsid w:val="00275328"/>
    <w:pPr>
      <w:jc w:val="center"/>
    </w:pPr>
    <w:rPr>
      <w:b/>
    </w:rPr>
  </w:style>
  <w:style w:type="paragraph" w:styleId="Style19" w:customStyle="1">
    <w:name w:val="Раздел положения"/>
    <w:basedOn w:val="Normal"/>
    <w:autoRedefine/>
    <w:qFormat/>
    <w:rsid w:val="007475ee"/>
    <w:pPr>
      <w:numPr>
        <w:ilvl w:val="0"/>
        <w:numId w:val="1"/>
      </w:numPr>
      <w:spacing w:before="80" w:after="80"/>
      <w:jc w:val="center"/>
    </w:pPr>
    <w:rPr>
      <w:b/>
      <w:sz w:val="32"/>
      <w:szCs w:val="32"/>
    </w:rPr>
  </w:style>
  <w:style w:type="paragraph" w:styleId="Style20" w:customStyle="1">
    <w:name w:val="Подраздел раздела положения"/>
    <w:basedOn w:val="Normal"/>
    <w:autoRedefine/>
    <w:qFormat/>
    <w:rsid w:val="007475ee"/>
    <w:pPr>
      <w:numPr>
        <w:ilvl w:val="1"/>
        <w:numId w:val="1"/>
      </w:numPr>
      <w:spacing w:before="80" w:after="80"/>
      <w:jc w:val="both"/>
    </w:pPr>
    <w:rPr/>
  </w:style>
  <w:style w:type="paragraph" w:styleId="FootnoteText">
    <w:name w:val="Footnote Text"/>
    <w:basedOn w:val="Normal"/>
    <w:link w:val="Style5"/>
    <w:rsid w:val="00d561d9"/>
    <w:pPr/>
    <w:rPr>
      <w:sz w:val="20"/>
      <w:szCs w:val="20"/>
    </w:rPr>
  </w:style>
  <w:style w:type="paragraph" w:styleId="14" w:customStyle="1">
    <w:name w:val="Шапка 1"/>
    <w:basedOn w:val="Normal"/>
    <w:qFormat/>
    <w:rsid w:val="00d561d9"/>
    <w:pPr>
      <w:pBdr>
        <w:bottom w:val="thickThinSmallGap" w:sz="24" w:space="1" w:color="000000"/>
      </w:pBdr>
      <w:spacing w:before="0" w:after="240"/>
      <w:jc w:val="center"/>
    </w:pPr>
    <w:rPr>
      <w:sz w:val="22"/>
      <w:szCs w:val="22"/>
    </w:rPr>
  </w:style>
  <w:style w:type="paragraph" w:styleId="23" w:customStyle="1">
    <w:name w:val="Шапка 2"/>
    <w:basedOn w:val="Normal"/>
    <w:qFormat/>
    <w:rsid w:val="00d561d9"/>
    <w:pPr>
      <w:pBdr>
        <w:bottom w:val="thickThinSmallGap" w:sz="24" w:space="1" w:color="000000"/>
      </w:pBdr>
      <w:spacing w:before="0" w:after="120"/>
      <w:jc w:val="center"/>
    </w:pPr>
    <w:rPr>
      <w:b/>
      <w:sz w:val="22"/>
      <w:szCs w:val="22"/>
    </w:rPr>
  </w:style>
  <w:style w:type="paragraph" w:styleId="33" w:customStyle="1">
    <w:name w:val="Шапка 3"/>
    <w:basedOn w:val="Normal"/>
    <w:qFormat/>
    <w:rsid w:val="00d561d9"/>
    <w:pPr>
      <w:pBdr>
        <w:bottom w:val="thickThinSmallGap" w:sz="24" w:space="1" w:color="000000"/>
      </w:pBdr>
      <w:spacing w:before="240" w:after="360"/>
      <w:jc w:val="center"/>
    </w:pPr>
    <w:rPr>
      <w:b/>
      <w:sz w:val="24"/>
      <w:szCs w:val="24"/>
    </w:rPr>
  </w:style>
  <w:style w:type="paragraph" w:styleId="15" w:customStyle="1">
    <w:name w:val="Название1"/>
    <w:basedOn w:val="Normal"/>
    <w:link w:val="Style1"/>
    <w:uiPriority w:val="10"/>
    <w:qFormat/>
    <w:rsid w:val="00bd4014"/>
    <w:pPr>
      <w:jc w:val="center"/>
    </w:pPr>
    <w:rPr>
      <w:szCs w:val="20"/>
      <w:lang w:val="x-none" w:eastAsia="x-none"/>
    </w:rPr>
  </w:style>
  <w:style w:type="paragraph" w:styleId="Style21" w:customStyle="1">
    <w:name w:val="Колонтитул"/>
    <w:basedOn w:val="Normal"/>
    <w:qFormat/>
    <w:pPr/>
    <w:rPr/>
  </w:style>
  <w:style w:type="paragraph" w:styleId="Header">
    <w:name w:val="Header"/>
    <w:basedOn w:val="Normal"/>
    <w:link w:val="Style10"/>
    <w:rsid w:val="0076353a"/>
    <w:pPr>
      <w:tabs>
        <w:tab w:val="clear" w:pos="720"/>
        <w:tab w:val="center" w:pos="4677" w:leader="none"/>
        <w:tab w:val="right" w:pos="9355" w:leader="none"/>
      </w:tabs>
    </w:pPr>
    <w:rPr>
      <w:sz w:val="24"/>
      <w:szCs w:val="24"/>
    </w:rPr>
  </w:style>
  <w:style w:type="paragraph" w:styleId="BodyTextIndent">
    <w:name w:val="Body Text Indent"/>
    <w:basedOn w:val="Normal"/>
    <w:rsid w:val="0076353a"/>
    <w:pPr>
      <w:ind w:left="360" w:hanging="0"/>
    </w:pPr>
    <w:rPr>
      <w:sz w:val="24"/>
      <w:szCs w:val="24"/>
    </w:rPr>
  </w:style>
  <w:style w:type="paragraph" w:styleId="Footer">
    <w:name w:val="Footer"/>
    <w:basedOn w:val="Normal"/>
    <w:rsid w:val="0076353a"/>
    <w:pPr>
      <w:tabs>
        <w:tab w:val="clear" w:pos="720"/>
        <w:tab w:val="center" w:pos="4677" w:leader="none"/>
        <w:tab w:val="right" w:pos="9355" w:leader="none"/>
      </w:tabs>
    </w:pPr>
    <w:rPr/>
  </w:style>
  <w:style w:type="paragraph" w:styleId="BodyTextIndent2">
    <w:name w:val="Body Text Indent 2"/>
    <w:basedOn w:val="Normal"/>
    <w:qFormat/>
    <w:rsid w:val="0076353a"/>
    <w:pPr>
      <w:spacing w:lineRule="auto" w:line="480" w:before="0" w:after="120"/>
      <w:ind w:left="283" w:hanging="0"/>
    </w:pPr>
    <w:rPr/>
  </w:style>
  <w:style w:type="paragraph" w:styleId="BodyText3">
    <w:name w:val="Body Text 3"/>
    <w:basedOn w:val="Normal"/>
    <w:qFormat/>
    <w:rsid w:val="0076353a"/>
    <w:pPr>
      <w:spacing w:before="0" w:after="120"/>
    </w:pPr>
    <w:rPr>
      <w:sz w:val="16"/>
      <w:szCs w:val="16"/>
    </w:rPr>
  </w:style>
  <w:style w:type="paragraph" w:styleId="BodyTextIndent3">
    <w:name w:val="Body Text Indent 3"/>
    <w:basedOn w:val="Normal"/>
    <w:link w:val="32"/>
    <w:qFormat/>
    <w:rsid w:val="0076353a"/>
    <w:pPr>
      <w:spacing w:before="0" w:after="120"/>
      <w:ind w:left="283" w:hanging="0"/>
    </w:pPr>
    <w:rPr>
      <w:sz w:val="16"/>
      <w:szCs w:val="16"/>
    </w:rPr>
  </w:style>
  <w:style w:type="paragraph" w:styleId="BodyText2">
    <w:name w:val="Body Text 2"/>
    <w:basedOn w:val="Normal"/>
    <w:qFormat/>
    <w:rsid w:val="0076353a"/>
    <w:pPr>
      <w:spacing w:lineRule="auto" w:line="480" w:before="0" w:after="120"/>
    </w:pPr>
    <w:rPr/>
  </w:style>
  <w:style w:type="paragraph" w:styleId="BlockText">
    <w:name w:val="Block Text"/>
    <w:basedOn w:val="Normal"/>
    <w:qFormat/>
    <w:rsid w:val="0076353a"/>
    <w:pPr>
      <w:ind w:left="-567" w:right="-766" w:hanging="0"/>
      <w:jc w:val="center"/>
    </w:pPr>
    <w:rPr>
      <w:b/>
      <w:bCs/>
      <w:sz w:val="24"/>
      <w:szCs w:val="20"/>
    </w:rPr>
  </w:style>
  <w:style w:type="paragraph" w:styleId="Style22" w:customStyle="1">
    <w:name w:val="Подпункт"/>
    <w:basedOn w:val="Normal"/>
    <w:link w:val="11"/>
    <w:qFormat/>
    <w:rsid w:val="0076353a"/>
    <w:pPr>
      <w:tabs>
        <w:tab w:val="clear" w:pos="720"/>
        <w:tab w:val="left" w:pos="1134" w:leader="none"/>
      </w:tabs>
      <w:snapToGrid w:val="false"/>
      <w:spacing w:lineRule="auto" w:line="360"/>
      <w:ind w:left="1134" w:hanging="1134"/>
      <w:jc w:val="both"/>
    </w:pPr>
    <w:rPr>
      <w:szCs w:val="20"/>
      <w:lang w:val="x-none" w:eastAsia="x-none"/>
    </w:rPr>
  </w:style>
  <w:style w:type="paragraph" w:styleId="24" w:customStyle="1">
    <w:name w:val="Пункт2"/>
    <w:basedOn w:val="Normal"/>
    <w:link w:val="22"/>
    <w:qFormat/>
    <w:rsid w:val="0076353a"/>
    <w:pPr>
      <w:keepNext w:val="true"/>
      <w:tabs>
        <w:tab w:val="clear" w:pos="720"/>
        <w:tab w:val="left" w:pos="1134" w:leader="none"/>
      </w:tabs>
      <w:snapToGrid w:val="false"/>
      <w:spacing w:before="240" w:after="120"/>
      <w:ind w:left="1134" w:hanging="1134"/>
      <w:outlineLvl w:val="2"/>
    </w:pPr>
    <w:rPr>
      <w:b/>
      <w:szCs w:val="20"/>
    </w:rPr>
  </w:style>
  <w:style w:type="paragraph" w:styleId="TOC1">
    <w:name w:val="TOC 1"/>
    <w:basedOn w:val="Normal"/>
    <w:next w:val="Normal"/>
    <w:autoRedefine/>
    <w:uiPriority w:val="39"/>
    <w:rsid w:val="00421b6b"/>
    <w:pPr>
      <w:spacing w:before="120" w:after="0"/>
    </w:pPr>
    <w:rPr>
      <w:rFonts w:cs="Calibri Light (Заголовки)"/>
      <w:b/>
      <w:bCs/>
      <w:sz w:val="24"/>
      <w:szCs w:val="24"/>
    </w:rPr>
  </w:style>
  <w:style w:type="paragraph" w:styleId="TOC3">
    <w:name w:val="TOC 3"/>
    <w:basedOn w:val="Normal"/>
    <w:next w:val="Normal"/>
    <w:autoRedefine/>
    <w:uiPriority w:val="39"/>
    <w:rsid w:val="00c01756"/>
    <w:pPr>
      <w:ind w:left="280" w:hanging="0"/>
    </w:pPr>
    <w:rPr>
      <w:rFonts w:cs="Calibri" w:cstheme="minorHAnsi"/>
      <w:sz w:val="20"/>
      <w:szCs w:val="20"/>
    </w:rPr>
  </w:style>
  <w:style w:type="paragraph" w:styleId="Style23" w:customStyle="1">
    <w:name w:val="Раздел регламента"/>
    <w:basedOn w:val="Normal"/>
    <w:qFormat/>
    <w:rsid w:val="00e228fa"/>
    <w:pPr/>
    <w:rPr/>
  </w:style>
  <w:style w:type="paragraph" w:styleId="Style24" w:customStyle="1">
    <w:name w:val="Приложение к регламенту"/>
    <w:basedOn w:val="Normal"/>
    <w:qFormat/>
    <w:rsid w:val="00e228fa"/>
    <w:pPr>
      <w:jc w:val="right"/>
    </w:pPr>
    <w:rPr/>
  </w:style>
  <w:style w:type="paragraph" w:styleId="TOC2">
    <w:name w:val="TOC 2"/>
    <w:basedOn w:val="Normal"/>
    <w:next w:val="Normal"/>
    <w:autoRedefine/>
    <w:uiPriority w:val="39"/>
    <w:rsid w:val="00c01756"/>
    <w:pPr>
      <w:spacing w:before="240" w:after="0"/>
    </w:pPr>
    <w:rPr>
      <w:rFonts w:cs="Calibri" w:cstheme="minorHAnsi"/>
      <w:b/>
      <w:bCs/>
      <w:sz w:val="20"/>
      <w:szCs w:val="20"/>
    </w:rPr>
  </w:style>
  <w:style w:type="paragraph" w:styleId="BalloonText">
    <w:name w:val="Balloon Text"/>
    <w:basedOn w:val="Normal"/>
    <w:semiHidden/>
    <w:qFormat/>
    <w:rsid w:val="00197c91"/>
    <w:pPr/>
    <w:rPr>
      <w:rFonts w:ascii="Tahoma" w:hAnsi="Tahoma" w:cs="Tahoma"/>
      <w:sz w:val="16"/>
      <w:szCs w:val="16"/>
    </w:rPr>
  </w:style>
  <w:style w:type="paragraph" w:styleId="Annotationtext">
    <w:name w:val="annotation text"/>
    <w:basedOn w:val="Normal"/>
    <w:link w:val="Style11"/>
    <w:semiHidden/>
    <w:qFormat/>
    <w:rsid w:val="00b714b0"/>
    <w:pPr/>
    <w:rPr>
      <w:sz w:val="20"/>
      <w:szCs w:val="20"/>
    </w:rPr>
  </w:style>
  <w:style w:type="paragraph" w:styleId="Annotationsubject">
    <w:name w:val="annotation subject"/>
    <w:basedOn w:val="Annotationtext"/>
    <w:next w:val="Annotationtext"/>
    <w:semiHidden/>
    <w:qFormat/>
    <w:rsid w:val="00b714b0"/>
    <w:pPr/>
    <w:rPr>
      <w:b/>
      <w:bCs/>
    </w:rPr>
  </w:style>
  <w:style w:type="paragraph" w:styleId="16" w:customStyle="1">
    <w:name w:val="Обычный (веб)1"/>
    <w:basedOn w:val="Normal"/>
    <w:uiPriority w:val="99"/>
    <w:qFormat/>
    <w:rsid w:val="002f559a"/>
    <w:pPr>
      <w:spacing w:beforeAutospacing="1" w:afterAutospacing="1"/>
    </w:pPr>
    <w:rPr>
      <w:rFonts w:ascii="Arial Unicode MS" w:hAnsi="Arial Unicode MS" w:eastAsia="Arial Unicode MS" w:cs="Arial Unicode MS"/>
      <w:sz w:val="24"/>
      <w:szCs w:val="24"/>
    </w:rPr>
  </w:style>
  <w:style w:type="paragraph" w:styleId="TOC9">
    <w:name w:val="TOC 9"/>
    <w:basedOn w:val="Normal"/>
    <w:next w:val="Normal"/>
    <w:autoRedefine/>
    <w:semiHidden/>
    <w:rsid w:val="00f57628"/>
    <w:pPr>
      <w:ind w:left="1960" w:hanging="0"/>
    </w:pPr>
    <w:rPr>
      <w:rFonts w:ascii="Calibri" w:hAnsi="Calibri" w:cs="Calibri" w:asciiTheme="minorHAnsi" w:cstheme="minorHAnsi" w:hAnsiTheme="minorHAnsi"/>
      <w:sz w:val="20"/>
      <w:szCs w:val="20"/>
    </w:rPr>
  </w:style>
  <w:style w:type="paragraph" w:styleId="TOC5">
    <w:name w:val="TOC 5"/>
    <w:basedOn w:val="Normal"/>
    <w:next w:val="Normal"/>
    <w:autoRedefine/>
    <w:semiHidden/>
    <w:rsid w:val="00f57628"/>
    <w:pPr>
      <w:ind w:left="840" w:hanging="0"/>
    </w:pPr>
    <w:rPr>
      <w:rFonts w:ascii="Calibri" w:hAnsi="Calibri" w:cs="Calibri" w:asciiTheme="minorHAnsi" w:cstheme="minorHAnsi" w:hAnsiTheme="minorHAnsi"/>
      <w:sz w:val="20"/>
      <w:szCs w:val="20"/>
    </w:rPr>
  </w:style>
  <w:style w:type="paragraph" w:styleId="TOC4">
    <w:name w:val="TOC 4"/>
    <w:basedOn w:val="Normal"/>
    <w:next w:val="Normal"/>
    <w:autoRedefine/>
    <w:uiPriority w:val="39"/>
    <w:rsid w:val="00c01756"/>
    <w:pPr>
      <w:ind w:left="560" w:hanging="0"/>
    </w:pPr>
    <w:rPr>
      <w:rFonts w:cs="Calibri" w:cstheme="minorHAnsi"/>
      <w:sz w:val="20"/>
      <w:szCs w:val="20"/>
    </w:rPr>
  </w:style>
  <w:style w:type="paragraph" w:styleId="25" w:customStyle="1">
    <w:name w:val="Раздел положения 2"/>
    <w:basedOn w:val="Normal"/>
    <w:qFormat/>
    <w:rsid w:val="002c1e0e"/>
    <w:pPr>
      <w:pageBreakBefore/>
      <w:jc w:val="both"/>
      <w:outlineLvl w:val="0"/>
    </w:pPr>
    <w:rPr>
      <w:b/>
    </w:rPr>
  </w:style>
  <w:style w:type="paragraph" w:styleId="Style25" w:customStyle="1">
    <w:name w:val="Знак Знак Знак Знак Знак Знак Знак Знак Знак"/>
    <w:basedOn w:val="Normal"/>
    <w:qFormat/>
    <w:rsid w:val="00d22f6d"/>
    <w:pPr>
      <w:spacing w:lineRule="exact" w:line="240" w:before="0" w:after="160"/>
      <w:jc w:val="both"/>
    </w:pPr>
    <w:rPr>
      <w:rFonts w:ascii="Verdana" w:hAnsi="Verdana" w:cs="Verdana"/>
      <w:sz w:val="22"/>
      <w:szCs w:val="22"/>
      <w:lang w:val="en-US" w:eastAsia="en-US"/>
    </w:rPr>
  </w:style>
  <w:style w:type="paragraph" w:styleId="NoSpacing">
    <w:name w:val="No Spacing"/>
    <w:basedOn w:val="Normal"/>
    <w:uiPriority w:val="1"/>
    <w:qFormat/>
    <w:rsid w:val="00d22f6d"/>
    <w:pPr>
      <w:spacing w:lineRule="auto" w:line="360"/>
    </w:pPr>
    <w:rPr>
      <w:rFonts w:eastAsia="Calibri"/>
      <w:sz w:val="24"/>
      <w:szCs w:val="24"/>
    </w:rPr>
  </w:style>
  <w:style w:type="paragraph" w:styleId="Caption11111111" w:customStyle="1">
    <w:name w:val="caption11111111"/>
    <w:basedOn w:val="Normal"/>
    <w:next w:val="Normal"/>
    <w:uiPriority w:val="35"/>
    <w:qFormat/>
    <w:rsid w:val="00d22f6d"/>
    <w:pPr/>
    <w:rPr>
      <w:rFonts w:eastAsia="Calibri"/>
      <w:b/>
      <w:bCs/>
      <w:color w:val="4F81BD"/>
      <w:sz w:val="18"/>
      <w:szCs w:val="18"/>
    </w:rPr>
  </w:style>
  <w:style w:type="paragraph" w:styleId="Subtitle">
    <w:name w:val="Subtitle"/>
    <w:basedOn w:val="Normal"/>
    <w:next w:val="Normal"/>
    <w:link w:val="Style2"/>
    <w:uiPriority w:val="11"/>
    <w:qFormat/>
    <w:rsid w:val="00d22f6d"/>
    <w:pPr>
      <w:ind w:left="1066" w:firstLine="709"/>
    </w:pPr>
    <w:rPr>
      <w:rFonts w:ascii="Cambria" w:hAnsi="Cambria"/>
      <w:i/>
      <w:iCs/>
      <w:color w:val="4F81BD"/>
      <w:spacing w:val="15"/>
      <w:sz w:val="24"/>
      <w:szCs w:val="24"/>
      <w:lang w:val="x-none" w:eastAsia="x-none"/>
    </w:rPr>
  </w:style>
  <w:style w:type="paragraph" w:styleId="ListParagraph">
    <w:name w:val="List Paragraph"/>
    <w:basedOn w:val="Normal"/>
    <w:link w:val="Style7"/>
    <w:uiPriority w:val="34"/>
    <w:qFormat/>
    <w:rsid w:val="00d22f6d"/>
    <w:pPr>
      <w:spacing w:before="0" w:after="0"/>
      <w:ind w:left="720" w:hanging="0"/>
      <w:contextualSpacing/>
    </w:pPr>
    <w:rPr>
      <w:rFonts w:eastAsia="Calibri"/>
      <w:sz w:val="24"/>
      <w:szCs w:val="24"/>
    </w:rPr>
  </w:style>
  <w:style w:type="paragraph" w:styleId="Quote">
    <w:name w:val="Quote"/>
    <w:basedOn w:val="Normal"/>
    <w:next w:val="Normal"/>
    <w:link w:val="21"/>
    <w:uiPriority w:val="29"/>
    <w:qFormat/>
    <w:rsid w:val="00d22f6d"/>
    <w:pPr/>
    <w:rPr>
      <w:rFonts w:ascii="Calibri" w:hAnsi="Calibri" w:eastAsia="Calibri"/>
      <w:i/>
      <w:iCs/>
      <w:color w:val="000000"/>
      <w:sz w:val="20"/>
      <w:szCs w:val="20"/>
      <w:lang w:val="x-none" w:eastAsia="x-none"/>
    </w:rPr>
  </w:style>
  <w:style w:type="paragraph" w:styleId="IntenseQuote">
    <w:name w:val="Intense Quote"/>
    <w:basedOn w:val="Normal"/>
    <w:next w:val="Normal"/>
    <w:link w:val="Style3"/>
    <w:uiPriority w:val="30"/>
    <w:qFormat/>
    <w:rsid w:val="00d22f6d"/>
    <w:pPr>
      <w:pBdr>
        <w:bottom w:val="single" w:sz="4" w:space="4" w:color="4F81BD"/>
      </w:pBdr>
      <w:spacing w:before="200" w:after="280"/>
      <w:ind w:left="936" w:right="936" w:hanging="0"/>
    </w:pPr>
    <w:rPr>
      <w:rFonts w:ascii="Calibri" w:hAnsi="Calibri" w:eastAsia="Calibri"/>
      <w:b/>
      <w:bCs/>
      <w:i/>
      <w:iCs/>
      <w:color w:val="4F81BD"/>
      <w:sz w:val="20"/>
      <w:szCs w:val="20"/>
      <w:lang w:val="x-none" w:eastAsia="x-none"/>
    </w:rPr>
  </w:style>
  <w:style w:type="paragraph" w:styleId="IndexHeading">
    <w:name w:val="Index Heading"/>
    <w:basedOn w:val="Style16"/>
    <w:pPr/>
    <w:rPr/>
  </w:style>
  <w:style w:type="paragraph" w:styleId="TOCHeading">
    <w:name w:val="TOC Heading"/>
    <w:basedOn w:val="Heading1"/>
    <w:next w:val="Normal"/>
    <w:uiPriority w:val="39"/>
    <w:qFormat/>
    <w:rsid w:val="00d22f6d"/>
    <w:pPr>
      <w:keepLines/>
      <w:spacing w:before="480" w:after="60"/>
      <w:outlineLvl w:val="9"/>
    </w:pPr>
    <w:rPr>
      <w:rFonts w:ascii="Cambria" w:hAnsi="Cambria"/>
      <w:bCs/>
      <w:color w:val="365F91"/>
    </w:rPr>
  </w:style>
  <w:style w:type="paragraph" w:styleId="E-mailSignature">
    <w:name w:val="E-mail Signature"/>
    <w:basedOn w:val="Normal"/>
    <w:link w:val="Style4"/>
    <w:uiPriority w:val="99"/>
    <w:unhideWhenUsed/>
    <w:qFormat/>
    <w:rsid w:val="00d22f6d"/>
    <w:pPr/>
    <w:rPr>
      <w:rFonts w:eastAsia="Calibri"/>
      <w:sz w:val="24"/>
      <w:szCs w:val="24"/>
      <w:lang w:val="x-none" w:eastAsia="x-none"/>
    </w:rPr>
  </w:style>
  <w:style w:type="paragraph" w:styleId="Style26" w:customStyle="1">
    <w:name w:val="Знак"/>
    <w:basedOn w:val="Normal"/>
    <w:qFormat/>
    <w:rsid w:val="00d22f6d"/>
    <w:pPr>
      <w:spacing w:lineRule="exact" w:line="240" w:before="0" w:after="160"/>
    </w:pPr>
    <w:rPr>
      <w:rFonts w:ascii="Verdana" w:hAnsi="Verdana" w:cs="Verdana"/>
      <w:sz w:val="20"/>
      <w:szCs w:val="20"/>
      <w:lang w:val="en-US" w:eastAsia="en-US"/>
    </w:rPr>
  </w:style>
  <w:style w:type="paragraph" w:styleId="34" w:customStyle="1">
    <w:name w:val="Нумерованный список ур3"/>
    <w:basedOn w:val="Normal"/>
    <w:qFormat/>
    <w:rsid w:val="00d22f6d"/>
    <w:pPr>
      <w:numPr>
        <w:ilvl w:val="2"/>
        <w:numId w:val="2"/>
      </w:numPr>
      <w:jc w:val="both"/>
    </w:pPr>
    <w:rPr>
      <w:rFonts w:ascii="Garamond" w:hAnsi="Garamond"/>
      <w:sz w:val="24"/>
      <w:szCs w:val="20"/>
    </w:rPr>
  </w:style>
  <w:style w:type="paragraph" w:styleId="311" w:customStyle="1">
    <w:name w:val="Список 31"/>
    <w:basedOn w:val="Normal"/>
    <w:qFormat/>
    <w:rsid w:val="00d22f6d"/>
    <w:pPr>
      <w:numPr>
        <w:ilvl w:val="0"/>
        <w:numId w:val="2"/>
      </w:numPr>
      <w:spacing w:before="120" w:after="0"/>
      <w:jc w:val="both"/>
    </w:pPr>
    <w:rPr>
      <w:rFonts w:ascii="Garamond" w:hAnsi="Garamond"/>
      <w:sz w:val="24"/>
      <w:szCs w:val="20"/>
    </w:rPr>
  </w:style>
  <w:style w:type="paragraph" w:styleId="26" w:customStyle="1">
    <w:name w:val="Нумерованный список ур2"/>
    <w:basedOn w:val="Normal"/>
    <w:qFormat/>
    <w:rsid w:val="00d22f6d"/>
    <w:pPr>
      <w:numPr>
        <w:ilvl w:val="1"/>
        <w:numId w:val="2"/>
      </w:numPr>
      <w:spacing w:before="120" w:after="0"/>
      <w:jc w:val="both"/>
    </w:pPr>
    <w:rPr>
      <w:rFonts w:ascii="Garamond" w:hAnsi="Garamond"/>
      <w:sz w:val="24"/>
      <w:szCs w:val="20"/>
    </w:rPr>
  </w:style>
  <w:style w:type="paragraph" w:styleId="Revision">
    <w:name w:val="Revision"/>
    <w:uiPriority w:val="99"/>
    <w:semiHidden/>
    <w:qFormat/>
    <w:rsid w:val="00d22f6d"/>
    <w:pPr>
      <w:widowControl/>
      <w:suppressAutoHyphens w:val="true"/>
      <w:bidi w:val="0"/>
      <w:spacing w:before="0" w:after="0"/>
      <w:jc w:val="left"/>
    </w:pPr>
    <w:rPr>
      <w:rFonts w:ascii="Times New Roman" w:hAnsi="Times New Roman" w:eastAsia="Calibri" w:cs="Times New Roman"/>
      <w:color w:val="auto"/>
      <w:kern w:val="0"/>
      <w:sz w:val="24"/>
      <w:szCs w:val="24"/>
      <w:lang w:val="ru-RU" w:eastAsia="ru-RU" w:bidi="ar-SA"/>
    </w:rPr>
  </w:style>
  <w:style w:type="paragraph" w:styleId="ConsPlusNormal" w:customStyle="1">
    <w:name w:val="ConsPlusNormal"/>
    <w:qFormat/>
    <w:rsid w:val="00d22f6d"/>
    <w:pPr>
      <w:widowControl w:val="false"/>
      <w:suppressAutoHyphens w:val="true"/>
      <w:bidi w:val="0"/>
      <w:spacing w:before="0" w:after="0"/>
      <w:ind w:firstLine="720"/>
      <w:jc w:val="left"/>
    </w:pPr>
    <w:rPr>
      <w:rFonts w:ascii="Arial" w:hAnsi="Arial" w:eastAsia="Times New Roman" w:cs="Arial"/>
      <w:color w:val="auto"/>
      <w:kern w:val="0"/>
      <w:sz w:val="20"/>
      <w:szCs w:val="20"/>
      <w:lang w:val="ru-RU" w:eastAsia="ru-RU" w:bidi="ar-SA"/>
    </w:rPr>
  </w:style>
  <w:style w:type="paragraph" w:styleId="35" w:customStyle="1">
    <w:name w:val="Знак Знак3 Знак Знак"/>
    <w:basedOn w:val="Normal"/>
    <w:qFormat/>
    <w:rsid w:val="00d22f6d"/>
    <w:pPr>
      <w:spacing w:lineRule="exact" w:line="240" w:before="0" w:after="160"/>
      <w:jc w:val="both"/>
    </w:pPr>
    <w:rPr>
      <w:rFonts w:ascii="Verdana" w:hAnsi="Verdana" w:cs="Verdana"/>
      <w:sz w:val="22"/>
      <w:szCs w:val="22"/>
      <w:lang w:val="en-US" w:eastAsia="en-US"/>
    </w:rPr>
  </w:style>
  <w:style w:type="paragraph" w:styleId="Style27" w:customStyle="1">
    <w:name w:val="Пункт"/>
    <w:basedOn w:val="Normal"/>
    <w:qFormat/>
    <w:rsid w:val="00d22f6d"/>
    <w:pPr>
      <w:widowControl w:val="false"/>
      <w:tabs>
        <w:tab w:val="clear" w:pos="720"/>
        <w:tab w:val="left" w:pos="1134" w:leader="none"/>
      </w:tabs>
      <w:spacing w:lineRule="auto" w:line="360" w:before="120" w:after="0"/>
      <w:ind w:left="1134" w:right="800" w:hanging="1134"/>
      <w:jc w:val="both"/>
    </w:pPr>
    <w:rPr>
      <w:rFonts w:ascii="Arial" w:hAnsi="Arial"/>
      <w:b/>
      <w:i/>
      <w:szCs w:val="20"/>
    </w:rPr>
  </w:style>
  <w:style w:type="paragraph" w:styleId="17" w:customStyle="1">
    <w:name w:val="Абзац списка1"/>
    <w:basedOn w:val="Normal"/>
    <w:qFormat/>
    <w:rsid w:val="00d22f6d"/>
    <w:pPr>
      <w:spacing w:lineRule="auto" w:line="276" w:before="0" w:after="200"/>
      <w:ind w:left="720" w:hanging="0"/>
      <w:contextualSpacing/>
    </w:pPr>
    <w:rPr>
      <w:rFonts w:ascii="Calibri" w:hAnsi="Calibri"/>
      <w:sz w:val="22"/>
      <w:szCs w:val="22"/>
      <w:lang w:eastAsia="en-US"/>
    </w:rPr>
  </w:style>
  <w:style w:type="paragraph" w:styleId="Style28" w:customStyle="1">
    <w:name w:val="Таблица"/>
    <w:basedOn w:val="Normal"/>
    <w:qFormat/>
    <w:rsid w:val="0041356c"/>
    <w:pPr>
      <w:keepNext w:val="true"/>
      <w:spacing w:before="60" w:after="60"/>
      <w:jc w:val="center"/>
    </w:pPr>
    <w:rPr>
      <w:rFonts w:eastAsia="Calibri"/>
      <w:b/>
      <w:sz w:val="24"/>
      <w:szCs w:val="24"/>
      <w:lang w:val="x-none" w:eastAsia="x-none"/>
    </w:rPr>
  </w:style>
  <w:style w:type="paragraph" w:styleId="Style29" w:customStyle="1">
    <w:name w:val="Таблица шапка"/>
    <w:basedOn w:val="Normal"/>
    <w:qFormat/>
    <w:rsid w:val="00f64089"/>
    <w:pPr>
      <w:keepNext w:val="true"/>
      <w:spacing w:before="40" w:after="40"/>
      <w:ind w:left="57" w:right="57" w:hanging="0"/>
    </w:pPr>
    <w:rPr>
      <w:sz w:val="22"/>
      <w:szCs w:val="26"/>
    </w:rPr>
  </w:style>
  <w:style w:type="paragraph" w:styleId="Style30" w:customStyle="1">
    <w:name w:val="Подподпункт"/>
    <w:basedOn w:val="Style22"/>
    <w:link w:val="Style9"/>
    <w:qFormat/>
    <w:rsid w:val="0025139e"/>
    <w:pPr>
      <w:tabs>
        <w:tab w:val="clear" w:pos="1134"/>
        <w:tab w:val="left" w:pos="5104" w:leader="none"/>
      </w:tabs>
      <w:snapToGrid w:val="true"/>
      <w:spacing w:lineRule="auto" w:line="240" w:before="120" w:after="0"/>
      <w:ind w:left="5104" w:hanging="567"/>
    </w:pPr>
    <w:rPr>
      <w:sz w:val="26"/>
      <w:szCs w:val="26"/>
      <w:lang w:val="ru-RU" w:eastAsia="ru-RU"/>
    </w:rPr>
  </w:style>
  <w:style w:type="paragraph" w:styleId="Style31" w:customStyle="1">
    <w:name w:val="УРОВЕНЬ_(а)"/>
    <w:basedOn w:val="ListParagraph"/>
    <w:qFormat/>
    <w:rsid w:val="00b56f46"/>
    <w:pPr>
      <w:numPr>
        <w:ilvl w:val="3"/>
        <w:numId w:val="4"/>
      </w:numPr>
      <w:spacing w:lineRule="exact" w:line="360" w:before="120" w:after="0"/>
      <w:contextualSpacing w:val="false"/>
      <w:jc w:val="both"/>
      <w:outlineLvl w:val="3"/>
    </w:pPr>
    <w:rPr>
      <w:sz w:val="26"/>
      <w:szCs w:val="28"/>
      <w:lang w:eastAsia="en-US"/>
    </w:rPr>
  </w:style>
  <w:style w:type="paragraph" w:styleId="-" w:customStyle="1">
    <w:name w:val="УРОВЕНЬ_-"/>
    <w:basedOn w:val="ListParagraph"/>
    <w:qFormat/>
    <w:rsid w:val="00b56f46"/>
    <w:pPr>
      <w:numPr>
        <w:ilvl w:val="4"/>
        <w:numId w:val="4"/>
      </w:numPr>
      <w:spacing w:lineRule="exact" w:line="360" w:before="120" w:after="0"/>
      <w:contextualSpacing w:val="false"/>
      <w:jc w:val="both"/>
      <w:outlineLvl w:val="4"/>
    </w:pPr>
    <w:rPr>
      <w:sz w:val="26"/>
      <w:szCs w:val="28"/>
      <w:lang w:eastAsia="en-US"/>
    </w:rPr>
  </w:style>
  <w:style w:type="paragraph" w:styleId="27" w:customStyle="1">
    <w:name w:val="УРОВЕНЬ_Абзац_тип2"/>
    <w:basedOn w:val="ListParagraph"/>
    <w:qFormat/>
    <w:rsid w:val="00b56f46"/>
    <w:pPr>
      <w:numPr>
        <w:ilvl w:val="6"/>
        <w:numId w:val="4"/>
      </w:numPr>
      <w:spacing w:lineRule="exact" w:line="360" w:before="120" w:after="0"/>
      <w:contextualSpacing w:val="false"/>
      <w:jc w:val="both"/>
    </w:pPr>
    <w:rPr>
      <w:sz w:val="26"/>
      <w:szCs w:val="28"/>
      <w:lang w:eastAsia="en-US"/>
    </w:rPr>
  </w:style>
  <w:style w:type="paragraph" w:styleId="36" w:customStyle="1">
    <w:name w:val="УРОВЕНЬ_Абзац_тип3"/>
    <w:basedOn w:val="ListParagraph"/>
    <w:link w:val="31"/>
    <w:qFormat/>
    <w:rsid w:val="00b56f46"/>
    <w:pPr>
      <w:numPr>
        <w:ilvl w:val="7"/>
        <w:numId w:val="4"/>
      </w:numPr>
      <w:spacing w:lineRule="exact" w:line="360" w:before="120" w:after="0"/>
      <w:contextualSpacing w:val="false"/>
      <w:jc w:val="both"/>
    </w:pPr>
    <w:rPr>
      <w:sz w:val="26"/>
      <w:szCs w:val="28"/>
      <w:lang w:eastAsia="en-US"/>
    </w:rPr>
  </w:style>
  <w:style w:type="paragraph" w:styleId="Style32" w:customStyle="1">
    <w:name w:val="УРОВЕНЬ_Подпись"/>
    <w:basedOn w:val="ListParagraph"/>
    <w:qFormat/>
    <w:rsid w:val="00b56f46"/>
    <w:pPr>
      <w:keepNext w:val="true"/>
      <w:numPr>
        <w:ilvl w:val="5"/>
        <w:numId w:val="4"/>
      </w:numPr>
      <w:spacing w:lineRule="exact" w:line="360" w:before="120" w:after="120"/>
      <w:contextualSpacing w:val="false"/>
      <w:jc w:val="right"/>
      <w:outlineLvl w:val="3"/>
    </w:pPr>
    <w:rPr>
      <w:sz w:val="26"/>
      <w:szCs w:val="28"/>
      <w:lang w:eastAsia="en-US"/>
    </w:rPr>
  </w:style>
  <w:style w:type="paragraph" w:styleId="18" w:customStyle="1">
    <w:name w:val="Стиль Заголовок 1 + по ширине"/>
    <w:basedOn w:val="Heading1"/>
    <w:qFormat/>
    <w:rsid w:val="005773b2"/>
    <w:pPr>
      <w:keepLines/>
      <w:tabs>
        <w:tab w:val="clear" w:pos="0"/>
        <w:tab w:val="left" w:pos="567" w:leader="none"/>
      </w:tabs>
      <w:spacing w:before="480" w:after="240"/>
      <w:ind w:left="567" w:hanging="567"/>
      <w:jc w:val="both"/>
    </w:pPr>
    <w:rPr>
      <w:rFonts w:ascii="Arial" w:hAnsi="Arial" w:eastAsia="Times New Roman"/>
      <w:bCs/>
      <w:kern w:val="2"/>
      <w:sz w:val="40"/>
      <w:szCs w:val="20"/>
      <w:lang w:val="ru-RU" w:eastAsia="ru-RU"/>
    </w:rPr>
  </w:style>
  <w:style w:type="paragraph" w:styleId="EndnoteText">
    <w:name w:val="Endnote Text"/>
    <w:basedOn w:val="Normal"/>
    <w:link w:val="Style12"/>
    <w:rsid w:val="003879d4"/>
    <w:pPr/>
    <w:rPr>
      <w:sz w:val="20"/>
      <w:szCs w:val="20"/>
    </w:rPr>
  </w:style>
  <w:style w:type="paragraph" w:styleId="28" w:customStyle="1">
    <w:name w:val="Заголовок 2 КВВ"/>
    <w:basedOn w:val="Normal"/>
    <w:qFormat/>
    <w:rsid w:val="00cb35e8"/>
    <w:pPr>
      <w:keepNext w:val="true"/>
      <w:numPr>
        <w:ilvl w:val="0"/>
        <w:numId w:val="5"/>
      </w:numPr>
      <w:spacing w:before="120" w:after="120"/>
      <w:jc w:val="both"/>
      <w:outlineLvl w:val="0"/>
    </w:pPr>
    <w:rPr>
      <w:b/>
      <w:kern w:val="2"/>
      <w:sz w:val="24"/>
      <w:szCs w:val="20"/>
      <w:lang w:eastAsia="x-none"/>
    </w:rPr>
  </w:style>
  <w:style w:type="paragraph" w:styleId="Style33" w:customStyle="1">
    <w:name w:val="Таблица текст"/>
    <w:basedOn w:val="Normal"/>
    <w:qFormat/>
    <w:rsid w:val="00343e95"/>
    <w:pPr>
      <w:spacing w:before="40" w:after="40"/>
      <w:ind w:left="57" w:right="57" w:hanging="0"/>
    </w:pPr>
    <w:rPr>
      <w:sz w:val="24"/>
      <w:szCs w:val="26"/>
    </w:rPr>
  </w:style>
  <w:style w:type="paragraph" w:styleId="NormalWeb">
    <w:name w:val="Normal (Web)"/>
    <w:basedOn w:val="Normal"/>
    <w:uiPriority w:val="99"/>
    <w:unhideWhenUsed/>
    <w:qFormat/>
    <w:rsid w:val="00265d9f"/>
    <w:pPr>
      <w:spacing w:beforeAutospacing="1" w:afterAutospacing="1"/>
    </w:pPr>
    <w:rPr>
      <w:sz w:val="24"/>
      <w:szCs w:val="24"/>
    </w:rPr>
  </w:style>
  <w:style w:type="paragraph" w:styleId="19" w:customStyle="1">
    <w:name w:val="УРОВЕНЬ_1."/>
    <w:basedOn w:val="ListParagraph"/>
    <w:link w:val="12"/>
    <w:qFormat/>
    <w:rsid w:val="004a17ae"/>
    <w:pPr>
      <w:keepNext w:val="true"/>
      <w:keepLines/>
      <w:spacing w:lineRule="auto" w:line="276" w:before="240" w:after="120"/>
      <w:ind w:left="0" w:hanging="0"/>
      <w:contextualSpacing w:val="false"/>
      <w:jc w:val="both"/>
      <w:outlineLvl w:val="0"/>
    </w:pPr>
    <w:rPr>
      <w:caps/>
      <w:sz w:val="28"/>
      <w:szCs w:val="28"/>
      <w:lang w:eastAsia="en-US"/>
    </w:rPr>
  </w:style>
  <w:style w:type="paragraph" w:styleId="TOC6">
    <w:name w:val="TOC 6"/>
    <w:basedOn w:val="Normal"/>
    <w:next w:val="Normal"/>
    <w:autoRedefine/>
    <w:unhideWhenUsed/>
    <w:rsid w:val="00d849aa"/>
    <w:pPr>
      <w:ind w:left="1120" w:hanging="0"/>
    </w:pPr>
    <w:rPr>
      <w:rFonts w:ascii="Calibri" w:hAnsi="Calibri" w:cs="Calibri" w:asciiTheme="minorHAnsi" w:cstheme="minorHAnsi" w:hAnsiTheme="minorHAnsi"/>
      <w:sz w:val="20"/>
      <w:szCs w:val="20"/>
    </w:rPr>
  </w:style>
  <w:style w:type="paragraph" w:styleId="TOC7">
    <w:name w:val="TOC 7"/>
    <w:basedOn w:val="Normal"/>
    <w:next w:val="Normal"/>
    <w:autoRedefine/>
    <w:unhideWhenUsed/>
    <w:rsid w:val="00d849aa"/>
    <w:pPr>
      <w:ind w:left="1400" w:hanging="0"/>
    </w:pPr>
    <w:rPr>
      <w:rFonts w:ascii="Calibri" w:hAnsi="Calibri" w:cs="Calibri" w:asciiTheme="minorHAnsi" w:cstheme="minorHAnsi" w:hAnsiTheme="minorHAnsi"/>
      <w:sz w:val="20"/>
      <w:szCs w:val="20"/>
    </w:rPr>
  </w:style>
  <w:style w:type="paragraph" w:styleId="TOC8">
    <w:name w:val="TOC 8"/>
    <w:basedOn w:val="Normal"/>
    <w:next w:val="Normal"/>
    <w:autoRedefine/>
    <w:unhideWhenUsed/>
    <w:rsid w:val="00d849aa"/>
    <w:pPr>
      <w:ind w:left="1680" w:hanging="0"/>
    </w:pPr>
    <w:rPr>
      <w:rFonts w:ascii="Calibri" w:hAnsi="Calibri" w:cs="Calibri" w:asciiTheme="minorHAnsi" w:cstheme="minorHAnsi" w:hAnsiTheme="minorHAnsi"/>
      <w:sz w:val="20"/>
      <w:szCs w:val="20"/>
    </w:rPr>
  </w:style>
  <w:style w:type="paragraph" w:styleId="Style34" w:customStyle="1">
    <w:name w:val="основной для подзаголовков"/>
    <w:basedOn w:val="Heading2"/>
    <w:link w:val="Style14"/>
    <w:qFormat/>
    <w:rsid w:val="00e32efd"/>
    <w:pPr>
      <w:tabs>
        <w:tab w:val="clear" w:pos="0"/>
      </w:tabs>
      <w:spacing w:before="120" w:after="120"/>
    </w:pPr>
    <w:rPr>
      <w:rFonts w:eastAsia="Times New Roman"/>
      <w:bCs w:val="false"/>
      <w:sz w:val="28"/>
      <w:szCs w:val="28"/>
      <w:lang w:val="ru-RU" w:eastAsia="ru-RU"/>
    </w:rPr>
  </w:style>
  <w:style w:type="paragraph" w:styleId="FORMATTEXT" w:customStyle="1">
    <w:name w:val=".FORMATTEXT"/>
    <w:qFormat/>
    <w:rsid w:val="00b721bf"/>
    <w:pPr>
      <w:widowControl w:val="false"/>
      <w:suppressAutoHyphens w:val="true"/>
      <w:bidi w:val="0"/>
      <w:spacing w:before="0" w:after="0"/>
      <w:jc w:val="left"/>
    </w:pPr>
    <w:rPr>
      <w:rFonts w:ascii="Times New Roman" w:hAnsi="Times New Roman" w:eastAsia="Times New Roman" w:cs="Times New Roman"/>
      <w:color w:val="auto"/>
      <w:kern w:val="0"/>
      <w:sz w:val="24"/>
      <w:szCs w:val="24"/>
      <w:lang w:val="ru-RU" w:eastAsia="ru-RU" w:bidi="ar-SA"/>
    </w:rPr>
  </w:style>
  <w:style w:type="paragraph" w:styleId="312" w:customStyle="1">
    <w:name w:val="Основной текст с отступом 31"/>
    <w:basedOn w:val="Normal"/>
    <w:qFormat/>
    <w:rsid w:val="00b85984"/>
    <w:pPr>
      <w:ind w:firstLine="708"/>
    </w:pPr>
    <w:rPr>
      <w:sz w:val="24"/>
      <w:szCs w:val="24"/>
      <w:lang w:eastAsia="ar-SA"/>
    </w:rPr>
  </w:style>
  <w:style w:type="paragraph" w:styleId="Style35" w:customStyle="1">
    <w:name w:val="Содержимое врезки"/>
    <w:basedOn w:val="Normal"/>
    <w:qFormat/>
    <w:pPr/>
    <w:rPr/>
  </w:style>
  <w:style w:type="paragraph" w:styleId="Style36" w:customStyle="1">
    <w:name w:val="Содержимое таблицы"/>
    <w:basedOn w:val="Normal"/>
    <w:qFormat/>
    <w:pPr>
      <w:widowControl w:val="false"/>
      <w:suppressLineNumbers/>
    </w:pPr>
    <w:rPr/>
  </w:style>
  <w:style w:type="paragraph" w:styleId="Style37" w:customStyle="1">
    <w:name w:val="Заголовок таблицы"/>
    <w:basedOn w:val="Style36"/>
    <w:qFormat/>
    <w:pPr>
      <w:jc w:val="center"/>
    </w:pPr>
    <w:rPr>
      <w:b/>
      <w:bCs/>
    </w:rPr>
  </w:style>
  <w:style w:type="numbering" w:styleId="NoList" w:default="1">
    <w:name w:val="No List"/>
    <w:uiPriority w:val="99"/>
    <w:semiHidden/>
    <w:unhideWhenUsed/>
    <w:qFormat/>
  </w:style>
  <w:style w:type="numbering" w:styleId="110" w:customStyle="1">
    <w:name w:val="Стиль1"/>
    <w:uiPriority w:val="99"/>
    <w:qFormat/>
    <w:rsid w:val="00f001e4"/>
  </w:style>
  <w:style w:type="numbering" w:styleId="29" w:customStyle="1">
    <w:name w:val="Стиль2"/>
    <w:uiPriority w:val="99"/>
    <w:qFormat/>
    <w:rsid w:val="006629c9"/>
  </w:style>
  <w:style w:type="table" w:default="1" w:styleId="a5">
    <w:name w:val="Normal Table"/>
    <w:uiPriority w:val="99"/>
    <w:semiHidden/>
    <w:unhideWhenUsed/>
    <w:tblPr>
      <w:tblCellMar>
        <w:top w:w="0" w:type="dxa"/>
        <w:left w:w="108" w:type="dxa"/>
        <w:bottom w:w="0" w:type="dxa"/>
        <w:right w:w="108" w:type="dxa"/>
      </w:tblCellMar>
    </w:tblPr>
  </w:style>
  <w:style w:type="table" w:styleId="affff9">
    <w:name w:val="Table Grid"/>
    <w:basedOn w:val="a5"/>
    <w:uiPriority w:val="39"/>
    <w:rsid w:val="0076353a"/>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c">
    <w:name w:val="Сетка таблицы1"/>
    <w:basedOn w:val="a5"/>
    <w:uiPriority w:val="39"/>
    <w:rsid w:val="00214b9f"/>
    <w:rPr>
      <w:rFonts w:asciiTheme="minorHAnsi" w:hAnsiTheme="minorHAnsi" w:eastAsiaTheme="minorHAnsi" w:cstheme="minorBidi"/>
      <w:lang w:eastAsia="en-US"/>
      <w:sz w:val="24"/>
      <w:szCs w:val="24"/>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eader" Target="header1.xml"/><Relationship Id="rId3" Type="http://schemas.openxmlformats.org/officeDocument/2006/relationships/header" Target="header2.xml"/><Relationship Id="rId4" Type="http://schemas.openxmlformats.org/officeDocument/2006/relationships/header" Target="header3.xml"/><Relationship Id="rId5" Type="http://schemas.openxmlformats.org/officeDocument/2006/relationships/header" Target="header4.xml"/><Relationship Id="rId6" Type="http://schemas.openxmlformats.org/officeDocument/2006/relationships/header" Target="header5.xml"/><Relationship Id="rId7" Type="http://schemas.openxmlformats.org/officeDocument/2006/relationships/image" Target="media/image1.png"/><Relationship Id="rId8" Type="http://schemas.openxmlformats.org/officeDocument/2006/relationships/image" Target="media/image2.png"/><Relationship Id="rId9" Type="http://schemas.openxmlformats.org/officeDocument/2006/relationships/image" Target="media/image3.jpeg"/><Relationship Id="rId10" Type="http://schemas.openxmlformats.org/officeDocument/2006/relationships/image" Target="media/image4.jpeg"/><Relationship Id="rId11" Type="http://schemas.openxmlformats.org/officeDocument/2006/relationships/image" Target="media/image5.png"/><Relationship Id="rId12" Type="http://schemas.openxmlformats.org/officeDocument/2006/relationships/image" Target="media/image6.jpeg"/><Relationship Id="rId13" Type="http://schemas.openxmlformats.org/officeDocument/2006/relationships/image" Target="media/image7.jpeg"/><Relationship Id="rId14" Type="http://schemas.openxmlformats.org/officeDocument/2006/relationships/image" Target="media/image8.jpeg"/><Relationship Id="rId15" Type="http://schemas.openxmlformats.org/officeDocument/2006/relationships/image" Target="media/image9.jpeg"/><Relationship Id="rId16" Type="http://schemas.openxmlformats.org/officeDocument/2006/relationships/image" Target="media/image10.png"/><Relationship Id="rId17" Type="http://schemas.openxmlformats.org/officeDocument/2006/relationships/image" Target="media/image11.jpeg"/><Relationship Id="rId18" Type="http://schemas.openxmlformats.org/officeDocument/2006/relationships/image" Target="media/image12.png"/><Relationship Id="rId19" Type="http://schemas.openxmlformats.org/officeDocument/2006/relationships/header" Target="header6.xml"/><Relationship Id="rId20" Type="http://schemas.openxmlformats.org/officeDocument/2006/relationships/header" Target="header7.xml"/><Relationship Id="rId21" Type="http://schemas.openxmlformats.org/officeDocument/2006/relationships/numbering" Target="numbering.xml"/><Relationship Id="rId22" Type="http://schemas.openxmlformats.org/officeDocument/2006/relationships/fontTable" Target="fontTable.xml"/><Relationship Id="rId23" Type="http://schemas.openxmlformats.org/officeDocument/2006/relationships/settings" Target="settings.xml"/><Relationship Id="rId24" Type="http://schemas.openxmlformats.org/officeDocument/2006/relationships/theme" Target="theme/theme1.xml"/><Relationship Id="rId25" Type="http://schemas.openxmlformats.org/officeDocument/2006/relationships/customXml" Target="../customXml/item1.xml"/>
</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531743-5E01-46B8-B1BA-E45790B0B9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151</TotalTime>
  <Application>AlterOffice/3.4.0.9$Linux_X86_64 LibreOffice_project/b8daf9e823b1a5463a2f48435ddc2e8696e7d4fc</Application>
  <AppVersion>15.0000</AppVersion>
  <Pages>20</Pages>
  <Words>4403</Words>
  <Characters>28846</Characters>
  <CharactersWithSpaces>32782</CharactersWithSpaces>
  <Paragraphs>443</Paragraphs>
  <Company>Microsoft</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2025-03-31T06:50:00Z</dcterms:created>
  <dc:creator>Пирожков Дмитрий Андреевич</dc:creator>
  <dc:description/>
  <dc:language>ru-RU</dc:language>
  <cp:lastModifiedBy>shvalyukee@corp.gidroogk.com</cp:lastModifiedBy>
  <cp:lastPrinted>2026-05-05T13:56:05Z</cp:lastPrinted>
  <dcterms:modified xsi:type="dcterms:W3CDTF">2026-07-28T15:23:59Z</dcterms:modified>
  <cp:revision>19</cp:revision>
  <dc:subject/>
  <dc:title>Российское открытое акционерное общество энергетики и электрификации</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1</vt:bool>
  </property>
</Properties>
</file>